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Pr="00ED6AC3" w:rsidRDefault="00C671AF">
      <w:pPr>
        <w:rPr>
          <w:lang w:val="pt-BR"/>
        </w:rPr>
      </w:pPr>
      <w:r w:rsidRPr="00ED6AC3">
        <w:rPr>
          <w:noProof/>
          <w:lang w:val="pt-BR"/>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Pr="00ED6AC3" w:rsidRDefault="00A43F19">
      <w:pPr>
        <w:rPr>
          <w:lang w:val="pt-BR"/>
        </w:rPr>
      </w:pPr>
    </w:p>
    <w:p w14:paraId="3A103433" w14:textId="419C18F8" w:rsidR="00A43F19" w:rsidRPr="00ED6AC3" w:rsidRDefault="00A43F19">
      <w:pPr>
        <w:rPr>
          <w:lang w:val="pt-BR"/>
        </w:rPr>
      </w:pPr>
    </w:p>
    <w:p w14:paraId="51D40A8F" w14:textId="08729597" w:rsidR="00A43F19" w:rsidRPr="00ED6AC3" w:rsidRDefault="00BD2B7A">
      <w:pPr>
        <w:rPr>
          <w:lang w:val="pt-BR"/>
        </w:rPr>
      </w:pPr>
      <w:r w:rsidRPr="00ED6AC3">
        <w:rPr>
          <w:noProof/>
          <w:color w:val="DBEFF1" w:themeColor="accent4" w:themeTint="33"/>
          <w:lang w:val="pt-BR"/>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0AB493"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240D77CE" w:rsidR="005410E9" w:rsidRPr="00ED6AC3" w:rsidRDefault="005410E9">
      <w:pPr>
        <w:rPr>
          <w:b/>
          <w:bCs/>
          <w:sz w:val="144"/>
          <w:szCs w:val="144"/>
          <w:lang w:val="pt-BR"/>
        </w:rPr>
      </w:pPr>
    </w:p>
    <w:p w14:paraId="2C5FA821" w14:textId="18CE2A47" w:rsidR="00235F7A" w:rsidRPr="00ED6AC3" w:rsidRDefault="00235F7A">
      <w:pPr>
        <w:rPr>
          <w:b/>
          <w:bCs/>
          <w:color w:val="194869" w:themeColor="accent1"/>
          <w:sz w:val="96"/>
          <w:szCs w:val="96"/>
          <w:lang w:val="pt-BR"/>
        </w:rPr>
      </w:pPr>
    </w:p>
    <w:p w14:paraId="5E986F59" w14:textId="4928BBBD" w:rsidR="00235F7A" w:rsidRPr="00ED6AC3" w:rsidRDefault="00235F7A">
      <w:pPr>
        <w:rPr>
          <w:b/>
          <w:bCs/>
          <w:color w:val="194869" w:themeColor="accent1"/>
          <w:sz w:val="96"/>
          <w:szCs w:val="96"/>
          <w:lang w:val="pt-BR"/>
        </w:rPr>
      </w:pPr>
    </w:p>
    <w:p w14:paraId="78BD709E" w14:textId="3D2E9624" w:rsidR="00235F7A" w:rsidRPr="00ED6AC3" w:rsidRDefault="00235F7A">
      <w:pPr>
        <w:rPr>
          <w:b/>
          <w:bCs/>
          <w:color w:val="194869" w:themeColor="accent1"/>
          <w:sz w:val="96"/>
          <w:szCs w:val="96"/>
          <w:lang w:val="pt-BR"/>
        </w:rPr>
      </w:pPr>
    </w:p>
    <w:p w14:paraId="1FA904AE" w14:textId="7B51D9D7" w:rsidR="00235F7A" w:rsidRPr="00ED6AC3" w:rsidRDefault="00235F7A">
      <w:pPr>
        <w:rPr>
          <w:b/>
          <w:bCs/>
          <w:color w:val="194869" w:themeColor="accent1"/>
          <w:sz w:val="96"/>
          <w:szCs w:val="96"/>
          <w:lang w:val="pt-BR"/>
        </w:rPr>
      </w:pPr>
    </w:p>
    <w:p w14:paraId="6857F9E3" w14:textId="51445473" w:rsidR="004646E9" w:rsidRPr="00ED6AC3" w:rsidRDefault="008F467A" w:rsidP="009E4EB3">
      <w:pPr>
        <w:rPr>
          <w:b/>
          <w:bCs/>
          <w:color w:val="194869" w:themeColor="accent1"/>
          <w:sz w:val="72"/>
          <w:szCs w:val="96"/>
          <w:lang w:val="pt-BR"/>
        </w:rPr>
      </w:pPr>
      <w:r w:rsidRPr="00ED6AC3">
        <w:rPr>
          <w:b/>
          <w:bCs/>
          <w:color w:val="194869" w:themeColor="accent1"/>
          <w:sz w:val="72"/>
          <w:szCs w:val="96"/>
          <w:lang w:val="pt-BR" w:bidi="pt-PT"/>
        </w:rPr>
        <w:t>Manual de Consulta a Partes Interessadas do ODS 6.5.1</w:t>
      </w:r>
    </w:p>
    <w:p w14:paraId="062C7CED" w14:textId="3FDAF0D7" w:rsidR="00844946" w:rsidRPr="00ED6AC3" w:rsidRDefault="00844946">
      <w:pPr>
        <w:rPr>
          <w:color w:val="FFFFFF" w:themeColor="background1"/>
          <w:sz w:val="28"/>
          <w:szCs w:val="28"/>
          <w:lang w:val="pt-BR"/>
        </w:rPr>
      </w:pPr>
    </w:p>
    <w:p w14:paraId="5A8BF614" w14:textId="1A6D36AC" w:rsidR="00844946" w:rsidRPr="00ED6AC3" w:rsidRDefault="00844946">
      <w:pPr>
        <w:rPr>
          <w:color w:val="FFFFFF" w:themeColor="background1"/>
          <w:sz w:val="28"/>
          <w:szCs w:val="28"/>
          <w:lang w:val="pt-BR"/>
        </w:rPr>
      </w:pPr>
    </w:p>
    <w:p w14:paraId="55F545EF" w14:textId="35B3055E" w:rsidR="00A43F19" w:rsidRPr="00ED6AC3" w:rsidRDefault="00A43F19">
      <w:pPr>
        <w:rPr>
          <w:color w:val="4698D3" w:themeColor="accent1" w:themeTint="99"/>
          <w:sz w:val="28"/>
          <w:szCs w:val="28"/>
          <w:lang w:val="pt-BR"/>
        </w:rPr>
      </w:pPr>
    </w:p>
    <w:p w14:paraId="71EAD197" w14:textId="1573F2C8" w:rsidR="00B0219D" w:rsidRPr="00ED6AC3" w:rsidRDefault="00B0219D">
      <w:pPr>
        <w:rPr>
          <w:color w:val="4698D3" w:themeColor="accent1" w:themeTint="99"/>
          <w:sz w:val="28"/>
          <w:szCs w:val="28"/>
          <w:lang w:val="pt-BR"/>
        </w:rPr>
      </w:pPr>
    </w:p>
    <w:p w14:paraId="7E665D9F" w14:textId="617DBA9D" w:rsidR="00B0219D" w:rsidRPr="00ED6AC3" w:rsidRDefault="00B0219D">
      <w:pPr>
        <w:rPr>
          <w:color w:val="4698D3" w:themeColor="accent1" w:themeTint="99"/>
          <w:sz w:val="28"/>
          <w:szCs w:val="28"/>
          <w:lang w:val="pt-BR"/>
        </w:rPr>
      </w:pPr>
    </w:p>
    <w:p w14:paraId="5806E812" w14:textId="534F4B6D" w:rsidR="009819C7" w:rsidRPr="00ED6AC3" w:rsidRDefault="009819C7">
      <w:pPr>
        <w:rPr>
          <w:color w:val="4698D3" w:themeColor="accent1" w:themeTint="99"/>
          <w:sz w:val="28"/>
          <w:szCs w:val="28"/>
          <w:lang w:val="pt-BR"/>
        </w:rPr>
      </w:pPr>
      <w:r w:rsidRPr="00ED6AC3">
        <w:rPr>
          <w:sz w:val="52"/>
          <w:szCs w:val="52"/>
          <w:lang w:val="pt-BR"/>
        </w:rPr>
        <w:br w:type="page"/>
      </w:r>
    </w:p>
    <w:p w14:paraId="38F10606" w14:textId="2D0631CC" w:rsidR="004646E9" w:rsidRPr="00ED6AC3" w:rsidRDefault="00970943" w:rsidP="008F467A">
      <w:pPr>
        <w:pStyle w:val="Heading1"/>
        <w:numPr>
          <w:ilvl w:val="0"/>
          <w:numId w:val="2"/>
        </w:numPr>
        <w:jc w:val="both"/>
        <w:rPr>
          <w:lang w:val="pt-BR"/>
        </w:rPr>
      </w:pPr>
      <w:r w:rsidRPr="00ED6AC3">
        <w:rPr>
          <w:lang w:val="pt-BR"/>
        </w:rPr>
        <w:lastRenderedPageBreak/>
        <w:t xml:space="preserve"> </w:t>
      </w:r>
      <w:r w:rsidR="008F467A" w:rsidRPr="00ED6AC3">
        <w:rPr>
          <w:lang w:val="pt-BR" w:bidi="pt-PT"/>
        </w:rPr>
        <w:t>Contexto e finalidade deste documento </w:t>
      </w:r>
    </w:p>
    <w:p w14:paraId="0361FE63" w14:textId="45511E0C" w:rsidR="008F467A" w:rsidRPr="00ED6AC3" w:rsidRDefault="008F467A" w:rsidP="008F467A">
      <w:pPr>
        <w:pStyle w:val="paragraph"/>
        <w:spacing w:beforeAutospacing="0" w:after="120" w:afterAutospacing="0"/>
        <w:jc w:val="both"/>
        <w:textAlignment w:val="baseline"/>
        <w:rPr>
          <w:rFonts w:asciiTheme="minorHAnsi" w:hAnsiTheme="minorHAnsi" w:cstheme="minorHAnsi"/>
          <w:color w:val="12354E" w:themeColor="accent1" w:themeShade="BF"/>
          <w:lang w:val="pt-BR"/>
        </w:rPr>
      </w:pPr>
      <w:r w:rsidRPr="00ED6AC3">
        <w:rPr>
          <w:rFonts w:asciiTheme="minorHAnsi" w:hAnsiTheme="minorHAnsi" w:cstheme="minorHAnsi"/>
          <w:color w:val="12354E" w:themeColor="accent1" w:themeShade="BF"/>
          <w:lang w:val="pt-BR" w:bidi="pt-PT"/>
        </w:rPr>
        <w:t xml:space="preserve">Este </w:t>
      </w:r>
      <w:r w:rsidRPr="00ED6AC3">
        <w:rPr>
          <w:rFonts w:asciiTheme="minorHAnsi" w:hAnsiTheme="minorHAnsi" w:cstheme="minorHAnsi"/>
          <w:b/>
          <w:iCs/>
          <w:color w:val="12354E" w:themeColor="accent1" w:themeShade="BF"/>
          <w:lang w:val="pt-BR" w:bidi="pt-PT"/>
        </w:rPr>
        <w:t>Manual de Consulta a Partes Interessadas do ODS 6.5.1</w:t>
      </w:r>
      <w:r w:rsidRPr="00ED6AC3">
        <w:rPr>
          <w:rFonts w:asciiTheme="minorHAnsi" w:hAnsiTheme="minorHAnsi" w:cstheme="minorHAnsi"/>
          <w:color w:val="12354E" w:themeColor="accent1" w:themeShade="BF"/>
          <w:lang w:val="pt-BR" w:bidi="pt-PT"/>
        </w:rPr>
        <w:t xml:space="preserve"> faculta orientação e ferramentas para conduzir processos com várias partes interessadas a fim de concluir o </w:t>
      </w:r>
      <w:hyperlink r:id="rId12" w:history="1">
        <w:r w:rsidRPr="00ED6AC3">
          <w:rPr>
            <w:rStyle w:val="Hyperlink"/>
            <w:rFonts w:asciiTheme="minorHAnsi" w:hAnsiTheme="minorHAnsi" w:cstheme="minorHAnsi"/>
            <w:lang w:val="pt-BR" w:bidi="pt-PT"/>
          </w:rPr>
          <w:t>inquérito sobre o indicador 6.5.1 dos ODS</w:t>
        </w:r>
      </w:hyperlink>
      <w:r w:rsidRPr="00ED6AC3">
        <w:rPr>
          <w:rFonts w:asciiTheme="minorHAnsi" w:hAnsiTheme="minorHAnsi" w:cstheme="minorHAnsi"/>
          <w:color w:val="12354E" w:themeColor="accent1" w:themeShade="BF"/>
          <w:lang w:val="pt-BR" w:bidi="pt-PT"/>
        </w:rPr>
        <w:t>. É um guia para os Pontos Focais do indicador 6.5.1 dos ODS e para aqueles que os apoiam no relato sobre esse indicador.</w:t>
      </w:r>
    </w:p>
    <w:p w14:paraId="6168DFFF" w14:textId="77777777" w:rsidR="008F467A" w:rsidRPr="00ED6AC3" w:rsidRDefault="008F467A" w:rsidP="008F467A">
      <w:pPr>
        <w:pStyle w:val="paragraph"/>
        <w:spacing w:beforeAutospacing="0" w:after="120" w:afterAutospacing="0"/>
        <w:jc w:val="both"/>
        <w:textAlignment w:val="baseline"/>
        <w:rPr>
          <w:rFonts w:asciiTheme="minorHAnsi" w:eastAsiaTheme="minorEastAsia" w:hAnsiTheme="minorHAnsi" w:cstheme="minorHAnsi"/>
          <w:color w:val="12354E" w:themeColor="accent1" w:themeShade="BF"/>
          <w:lang w:val="pt-BR"/>
        </w:rPr>
      </w:pPr>
      <w:r w:rsidRPr="00ED6AC3">
        <w:rPr>
          <w:rFonts w:asciiTheme="minorHAnsi" w:hAnsiTheme="minorHAnsi" w:cstheme="minorHAnsi"/>
          <w:color w:val="12354E" w:themeColor="accent1" w:themeShade="BF"/>
          <w:lang w:val="pt-BR" w:bidi="pt-PT"/>
        </w:rPr>
        <w:t>O Ponto Focal do ODS 6.5.1 é responsável por coordenar os contributos das diferentes partes interessadas para ajudar a concluir o inquérito.</w:t>
      </w:r>
      <w:r w:rsidRPr="00ED6AC3">
        <w:rPr>
          <w:rStyle w:val="FootnoteReference"/>
          <w:rFonts w:asciiTheme="minorHAnsi" w:hAnsiTheme="minorHAnsi" w:cstheme="minorHAnsi"/>
          <w:color w:val="12354E" w:themeColor="accent1" w:themeShade="BF"/>
          <w:lang w:val="pt-BR" w:bidi="pt-PT"/>
        </w:rPr>
        <w:footnoteReference w:id="1"/>
      </w:r>
      <w:r w:rsidRPr="00ED6AC3">
        <w:rPr>
          <w:rFonts w:asciiTheme="minorHAnsi" w:hAnsiTheme="minorHAnsi" w:cstheme="minorHAnsi"/>
          <w:color w:val="12354E" w:themeColor="accent1" w:themeShade="BF"/>
          <w:lang w:val="pt-BR" w:bidi="pt-PT"/>
        </w:rPr>
        <w:t xml:space="preserve"> A ampla participação das partes interessadas no relato sobre o ODS 6.5.1 torna o inquérito concluído uma ferramenta de diagnóstico mais robusta e útil para debate e planeamento adicionais.</w:t>
      </w:r>
    </w:p>
    <w:p w14:paraId="3700A229" w14:textId="47BB39D8" w:rsidR="004646E9" w:rsidRPr="00ED6AC3" w:rsidRDefault="008F467A" w:rsidP="008F467A">
      <w:pPr>
        <w:pStyle w:val="Body"/>
        <w:jc w:val="both"/>
        <w:rPr>
          <w:rFonts w:cstheme="minorHAnsi"/>
          <w:lang w:val="pt-BR"/>
        </w:rPr>
      </w:pPr>
      <w:r w:rsidRPr="00ED6AC3">
        <w:rPr>
          <w:rFonts w:cstheme="minorHAnsi"/>
          <w:lang w:val="pt-BR" w:bidi="pt-PT"/>
        </w:rPr>
        <w:t xml:space="preserve">Os países podem solicitar assistência técnica/financeira para facilitar o processo de consulta de várias partes interessadas por meio do </w:t>
      </w:r>
      <w:hyperlink r:id="rId13" w:history="1">
        <w:r w:rsidRPr="00ED6AC3">
          <w:rPr>
            <w:rStyle w:val="Hyperlink"/>
            <w:rFonts w:cstheme="minorHAnsi"/>
            <w:lang w:val="pt-BR" w:bidi="pt-PT"/>
          </w:rPr>
          <w:t>Programa de Apoio à GIRH do ODS 6</w:t>
        </w:r>
      </w:hyperlink>
      <w:r w:rsidRPr="00ED6AC3">
        <w:rPr>
          <w:rFonts w:cstheme="minorHAnsi"/>
          <w:lang w:val="pt-BR" w:bidi="pt-PT"/>
        </w:rPr>
        <w:t>. Os Pontos Focais do ODS 6.5.1 podem solicitar tal apoio por meio do Programa de Apoio (</w:t>
      </w:r>
      <w:hyperlink r:id="rId14">
        <w:r w:rsidRPr="00ED6AC3">
          <w:rPr>
            <w:rFonts w:cstheme="minorHAnsi"/>
            <w:color w:val="92D050"/>
            <w:lang w:val="pt-BR" w:bidi="pt-PT"/>
          </w:rPr>
          <w:t>sdg6iwrmsp@gwp.org</w:t>
        </w:r>
      </w:hyperlink>
      <w:r w:rsidRPr="00ED6AC3">
        <w:rPr>
          <w:rFonts w:cstheme="minorHAnsi"/>
          <w:lang w:val="pt-BR" w:bidi="pt-PT"/>
        </w:rPr>
        <w:t>) ou do Serviço de Apoio do ODS 6.5.1 (</w:t>
      </w:r>
      <w:hyperlink r:id="rId15" w:history="1">
        <w:r w:rsidRPr="00ED6AC3">
          <w:rPr>
            <w:rStyle w:val="Hyperlink"/>
            <w:rFonts w:cstheme="minorHAnsi"/>
            <w:lang w:val="pt-BR" w:bidi="pt-PT"/>
          </w:rPr>
          <w:t>iwrmsdg651@un.org</w:t>
        </w:r>
      </w:hyperlink>
      <w:r w:rsidRPr="00ED6AC3">
        <w:rPr>
          <w:rFonts w:cstheme="minorHAnsi"/>
          <w:lang w:val="pt-BR" w:bidi="pt-PT"/>
        </w:rPr>
        <w:t>)</w:t>
      </w:r>
      <w:r w:rsidR="004646E9" w:rsidRPr="00ED6AC3">
        <w:rPr>
          <w:rFonts w:cstheme="minorHAnsi"/>
          <w:lang w:val="pt-BR"/>
        </w:rPr>
        <w:t xml:space="preserve">. </w:t>
      </w:r>
    </w:p>
    <w:tbl>
      <w:tblPr>
        <w:tblStyle w:val="GridTable1Light-Accent5"/>
        <w:tblW w:w="9351" w:type="dxa"/>
        <w:tblInd w:w="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9351"/>
      </w:tblGrid>
      <w:tr w:rsidR="008F467A" w:rsidRPr="00ED6AC3" w14:paraId="76DA990C" w14:textId="77777777" w:rsidTr="1C46DEE2">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tcBorders>
              <w:bottom w:val="none" w:sz="2" w:space="0" w:color="A6A6A6" w:themeColor="background1" w:themeShade="A6"/>
            </w:tcBorders>
            <w:shd w:val="clear" w:color="auto" w:fill="12354E" w:themeFill="accent1" w:themeFillShade="BF"/>
          </w:tcPr>
          <w:p w14:paraId="0675F8E8" w14:textId="610A95C3" w:rsidR="008F467A" w:rsidRPr="00ED6AC3" w:rsidRDefault="008F467A" w:rsidP="008F467A">
            <w:pPr>
              <w:tabs>
                <w:tab w:val="left" w:pos="3150"/>
              </w:tabs>
              <w:rPr>
                <w:rFonts w:ascii="Calibri" w:eastAsia="Calibri" w:hAnsi="Calibri" w:cs="Calibri"/>
                <w:color w:val="FFFFFF" w:themeColor="background1"/>
                <w:sz w:val="24"/>
                <w:szCs w:val="20"/>
                <w:lang w:val="pt-BR"/>
              </w:rPr>
            </w:pPr>
            <w:r w:rsidRPr="00ED6AC3">
              <w:rPr>
                <w:rStyle w:val="normaltextrun"/>
                <w:color w:val="FFFFFF" w:themeColor="background1"/>
                <w:sz w:val="24"/>
                <w:szCs w:val="20"/>
                <w:lang w:val="pt-BR" w:bidi="pt-PT"/>
              </w:rPr>
              <w:t>A estrutura deste guia</w:t>
            </w:r>
            <w:r w:rsidRPr="00ED6AC3">
              <w:rPr>
                <w:rStyle w:val="normaltextrun"/>
                <w:color w:val="FFFFFF" w:themeColor="background1"/>
                <w:sz w:val="24"/>
                <w:szCs w:val="20"/>
                <w:lang w:val="pt-BR" w:bidi="pt-PT"/>
              </w:rPr>
              <w:tab/>
            </w:r>
          </w:p>
        </w:tc>
      </w:tr>
      <w:tr w:rsidR="008F467A" w:rsidRPr="00ED6AC3" w14:paraId="796AF0C8"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3B2E471D" w14:textId="77777777" w:rsidR="008F467A" w:rsidRPr="00ED6AC3" w:rsidRDefault="008F467A" w:rsidP="00B26A0E">
            <w:pPr>
              <w:rPr>
                <w:rStyle w:val="normaltextrun"/>
                <w:rFonts w:ascii="Calibri" w:eastAsia="Calibri" w:hAnsi="Calibri" w:cs="Calibri"/>
                <w:b w:val="0"/>
                <w:bCs w:val="0"/>
                <w:color w:val="12354E" w:themeColor="accent1" w:themeShade="BF"/>
                <w:sz w:val="24"/>
                <w:szCs w:val="20"/>
                <w:lang w:val="pt-BR"/>
              </w:rPr>
            </w:pPr>
            <w:r w:rsidRPr="00ED6AC3">
              <w:rPr>
                <w:rStyle w:val="normaltextrun"/>
                <w:b w:val="0"/>
                <w:color w:val="12354E" w:themeColor="accent1" w:themeShade="BF"/>
                <w:sz w:val="24"/>
                <w:szCs w:val="20"/>
                <w:lang w:val="pt-BR" w:bidi="pt-PT"/>
              </w:rPr>
              <w:t>Secção 1: Contexto e finalidade deste documento</w:t>
            </w:r>
          </w:p>
        </w:tc>
      </w:tr>
      <w:tr w:rsidR="008F467A" w:rsidRPr="00ED6AC3" w14:paraId="344FDFC5"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16A43347" w14:textId="77777777" w:rsidR="008F467A" w:rsidRPr="00ED6AC3" w:rsidRDefault="008F467A" w:rsidP="00B26A0E">
            <w:pPr>
              <w:rPr>
                <w:rStyle w:val="normaltextrun"/>
                <w:rFonts w:ascii="Calibri" w:eastAsia="Calibri" w:hAnsi="Calibri" w:cs="Calibri"/>
                <w:b w:val="0"/>
                <w:bCs w:val="0"/>
                <w:color w:val="12354E" w:themeColor="accent1" w:themeShade="BF"/>
                <w:sz w:val="24"/>
                <w:szCs w:val="20"/>
                <w:lang w:val="pt-BR"/>
              </w:rPr>
            </w:pPr>
            <w:r w:rsidRPr="00ED6AC3">
              <w:rPr>
                <w:rStyle w:val="normaltextrun"/>
                <w:b w:val="0"/>
                <w:color w:val="12354E" w:themeColor="accent1" w:themeShade="BF"/>
                <w:sz w:val="24"/>
                <w:szCs w:val="20"/>
                <w:lang w:val="pt-BR" w:bidi="pt-PT"/>
              </w:rPr>
              <w:t>Secção 2: Envolvimento das partes interessadas</w:t>
            </w:r>
          </w:p>
        </w:tc>
      </w:tr>
      <w:tr w:rsidR="008F467A" w:rsidRPr="00ED6AC3" w14:paraId="2B9E47DD"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77484C26" w14:textId="77777777" w:rsidR="008F467A" w:rsidRPr="00ED6AC3" w:rsidRDefault="008F467A" w:rsidP="00B26A0E">
            <w:pPr>
              <w:rPr>
                <w:rStyle w:val="normaltextrun"/>
                <w:rFonts w:ascii="Calibri" w:eastAsia="Calibri" w:hAnsi="Calibri" w:cs="Calibri"/>
                <w:b w:val="0"/>
                <w:bCs w:val="0"/>
                <w:color w:val="12354E" w:themeColor="accent1" w:themeShade="BF"/>
                <w:sz w:val="24"/>
                <w:szCs w:val="20"/>
                <w:lang w:val="pt-BR"/>
              </w:rPr>
            </w:pPr>
            <w:r w:rsidRPr="00ED6AC3">
              <w:rPr>
                <w:rStyle w:val="normaltextrun"/>
                <w:b w:val="0"/>
                <w:color w:val="12354E" w:themeColor="accent1" w:themeShade="BF"/>
                <w:sz w:val="24"/>
                <w:szCs w:val="20"/>
                <w:lang w:val="pt-BR" w:bidi="pt-PT"/>
              </w:rPr>
              <w:t>Secção 3: Processo de consulta sugerido</w:t>
            </w:r>
          </w:p>
        </w:tc>
      </w:tr>
      <w:tr w:rsidR="008F467A" w:rsidRPr="00ED6AC3" w14:paraId="5FAA3B47"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7237BF13" w14:textId="77777777" w:rsidR="008F467A" w:rsidRPr="00ED6AC3" w:rsidRDefault="008F467A" w:rsidP="00B26A0E">
            <w:pPr>
              <w:ind w:left="720"/>
              <w:rPr>
                <w:rStyle w:val="normaltextrun"/>
                <w:rFonts w:ascii="Calibri" w:eastAsia="Calibri" w:hAnsi="Calibri" w:cs="Calibri"/>
                <w:b w:val="0"/>
                <w:color w:val="12354E" w:themeColor="accent1" w:themeShade="BF"/>
                <w:sz w:val="24"/>
                <w:szCs w:val="20"/>
                <w:lang w:val="pt-BR"/>
              </w:rPr>
            </w:pPr>
            <w:r w:rsidRPr="00ED6AC3">
              <w:rPr>
                <w:rStyle w:val="normaltextrun"/>
                <w:b w:val="0"/>
                <w:color w:val="12354E" w:themeColor="accent1" w:themeShade="BF"/>
                <w:sz w:val="24"/>
                <w:szCs w:val="20"/>
                <w:lang w:val="pt-BR" w:bidi="pt-PT"/>
              </w:rPr>
              <w:t xml:space="preserve">Anexo 1: Ferramenta </w:t>
            </w:r>
            <w:r w:rsidRPr="00ED6AC3">
              <w:rPr>
                <w:rStyle w:val="normaltextrun"/>
                <w:b w:val="0"/>
                <w:i/>
                <w:color w:val="12354E" w:themeColor="accent1" w:themeShade="BF"/>
                <w:sz w:val="24"/>
                <w:szCs w:val="20"/>
                <w:lang w:val="pt-BR" w:bidi="pt-PT"/>
              </w:rPr>
              <w:t xml:space="preserve">online </w:t>
            </w:r>
            <w:r w:rsidRPr="00ED6AC3">
              <w:rPr>
                <w:rStyle w:val="normaltextrun"/>
                <w:b w:val="0"/>
                <w:color w:val="12354E" w:themeColor="accent1" w:themeShade="BF"/>
                <w:sz w:val="24"/>
                <w:szCs w:val="20"/>
                <w:lang w:val="pt-BR" w:bidi="pt-PT"/>
              </w:rPr>
              <w:t>do Inquérito sobre a GIRH</w:t>
            </w:r>
          </w:p>
        </w:tc>
      </w:tr>
      <w:tr w:rsidR="008F467A" w:rsidRPr="00ED6AC3" w14:paraId="42FC2047"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20B10AE8" w14:textId="77777777" w:rsidR="008F467A" w:rsidRPr="00ED6AC3" w:rsidRDefault="008F467A" w:rsidP="00B26A0E">
            <w:pPr>
              <w:ind w:left="720"/>
              <w:rPr>
                <w:rStyle w:val="normaltextrun"/>
                <w:rFonts w:ascii="Calibri" w:eastAsia="Calibri" w:hAnsi="Calibri" w:cs="Calibri"/>
                <w:b w:val="0"/>
                <w:bCs w:val="0"/>
                <w:color w:val="12354E" w:themeColor="accent1" w:themeShade="BF"/>
                <w:sz w:val="24"/>
                <w:szCs w:val="20"/>
                <w:lang w:val="pt-BR"/>
              </w:rPr>
            </w:pPr>
            <w:r w:rsidRPr="00ED6AC3">
              <w:rPr>
                <w:rStyle w:val="normaltextrun"/>
                <w:b w:val="0"/>
                <w:color w:val="12354E" w:themeColor="accent1" w:themeShade="BF"/>
                <w:sz w:val="24"/>
                <w:szCs w:val="20"/>
                <w:lang w:val="pt-BR" w:bidi="pt-PT"/>
              </w:rPr>
              <w:t xml:space="preserve">Anexo 2: Exemplo de agenda de um </w:t>
            </w:r>
            <w:r w:rsidRPr="00ED6AC3">
              <w:rPr>
                <w:rStyle w:val="normaltextrun"/>
                <w:b w:val="0"/>
                <w:i/>
                <w:color w:val="12354E" w:themeColor="accent1" w:themeShade="BF"/>
                <w:sz w:val="24"/>
                <w:szCs w:val="20"/>
                <w:lang w:val="pt-BR" w:bidi="pt-PT"/>
              </w:rPr>
              <w:t xml:space="preserve">workshop </w:t>
            </w:r>
            <w:r w:rsidRPr="00ED6AC3">
              <w:rPr>
                <w:rStyle w:val="normaltextrun"/>
                <w:b w:val="0"/>
                <w:color w:val="12354E" w:themeColor="accent1" w:themeShade="BF"/>
                <w:sz w:val="24"/>
                <w:szCs w:val="20"/>
                <w:lang w:val="pt-BR" w:bidi="pt-PT"/>
              </w:rPr>
              <w:t>de consulta</w:t>
            </w:r>
          </w:p>
        </w:tc>
      </w:tr>
      <w:tr w:rsidR="008F467A" w:rsidRPr="00ED6AC3" w14:paraId="0874FCB0"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5D6F0DE5" w14:textId="77777777" w:rsidR="008F467A" w:rsidRPr="00ED6AC3" w:rsidRDefault="008F467A" w:rsidP="00B26A0E">
            <w:pPr>
              <w:ind w:left="720"/>
              <w:rPr>
                <w:rFonts w:ascii="Calibri" w:eastAsia="Calibri" w:hAnsi="Calibri" w:cs="Calibri"/>
                <w:b w:val="0"/>
                <w:bCs w:val="0"/>
                <w:color w:val="12354E" w:themeColor="accent1" w:themeShade="BF"/>
                <w:sz w:val="24"/>
                <w:szCs w:val="20"/>
                <w:lang w:val="pt-BR"/>
              </w:rPr>
            </w:pPr>
            <w:r w:rsidRPr="00ED6AC3">
              <w:rPr>
                <w:rStyle w:val="normaltextrun"/>
                <w:b w:val="0"/>
                <w:color w:val="12354E" w:themeColor="accent1" w:themeShade="BF"/>
                <w:sz w:val="24"/>
                <w:szCs w:val="20"/>
                <w:lang w:val="pt-BR" w:bidi="pt-PT"/>
              </w:rPr>
              <w:t>Anexo 3: Modelo opcional de relatório de consulta</w:t>
            </w:r>
          </w:p>
        </w:tc>
      </w:tr>
      <w:tr w:rsidR="008F467A" w:rsidRPr="00ED6AC3" w14:paraId="486B952F"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0B0E8E09" w14:textId="77777777" w:rsidR="008F467A" w:rsidRPr="00ED6AC3" w:rsidRDefault="008F467A" w:rsidP="00B26A0E">
            <w:pPr>
              <w:ind w:left="720"/>
              <w:rPr>
                <w:rStyle w:val="normaltextrun"/>
                <w:rFonts w:ascii="Calibri" w:eastAsia="Calibri" w:hAnsi="Calibri" w:cs="Calibri"/>
                <w:b w:val="0"/>
                <w:bCs w:val="0"/>
                <w:color w:val="12354E" w:themeColor="accent1" w:themeShade="BF"/>
                <w:sz w:val="24"/>
                <w:szCs w:val="20"/>
                <w:lang w:val="pt-BR"/>
              </w:rPr>
            </w:pPr>
            <w:r w:rsidRPr="00ED6AC3">
              <w:rPr>
                <w:rStyle w:val="normaltextrun"/>
                <w:b w:val="0"/>
                <w:color w:val="12354E" w:themeColor="accent1" w:themeShade="BF"/>
                <w:sz w:val="24"/>
                <w:szCs w:val="20"/>
                <w:lang w:val="pt-BR" w:bidi="pt-PT"/>
              </w:rPr>
              <w:t>Anexo 4: Modelo de termos de referência do facilitador</w:t>
            </w:r>
          </w:p>
        </w:tc>
      </w:tr>
    </w:tbl>
    <w:p w14:paraId="62982642" w14:textId="77777777" w:rsidR="00C9543D" w:rsidRPr="00ED6AC3" w:rsidRDefault="00C9543D" w:rsidP="00450569">
      <w:pPr>
        <w:pStyle w:val="Body"/>
        <w:jc w:val="both"/>
        <w:rPr>
          <w:rStyle w:val="normaltextrun"/>
          <w:rFonts w:eastAsiaTheme="minorEastAsia"/>
          <w:lang w:val="pt-BR"/>
        </w:rPr>
      </w:pPr>
    </w:p>
    <w:p w14:paraId="670BB2BE" w14:textId="3C5501F9" w:rsidR="00C45F55" w:rsidRPr="00ED6AC3" w:rsidRDefault="008F467A" w:rsidP="008F467A">
      <w:pPr>
        <w:pStyle w:val="Body"/>
        <w:jc w:val="both"/>
        <w:rPr>
          <w:rFonts w:eastAsiaTheme="minorEastAsia"/>
          <w:lang w:val="pt-BR"/>
        </w:rPr>
      </w:pPr>
      <w:r w:rsidRPr="00ED6AC3">
        <w:rPr>
          <w:rFonts w:eastAsiaTheme="minorEastAsia"/>
          <w:lang w:val="pt-BR" w:bidi="pt-PT"/>
        </w:rPr>
        <w:t xml:space="preserve">Este documento é um de vários materiais de apoio disponíveis para o processo de relato do indicador 6.5.1 dos ODS. Está disponível uma panorâmica completa de todos os materiais de apoio, incluindo ligações diretas às respetivas versões em diferentes idiomas no </w:t>
      </w:r>
      <w:hyperlink r:id="rId16" w:history="1">
        <w:r w:rsidRPr="00ED6AC3">
          <w:rPr>
            <w:rStyle w:val="Hyperlink"/>
            <w:rFonts w:eastAsiaTheme="minorEastAsia"/>
            <w:lang w:val="pt-BR" w:bidi="pt-PT"/>
          </w:rPr>
          <w:t>Portal de Dados de GIRH</w:t>
        </w:r>
      </w:hyperlink>
      <w:r w:rsidR="00C45F55" w:rsidRPr="00ED6AC3">
        <w:rPr>
          <w:rStyle w:val="normaltextrun"/>
          <w:rFonts w:eastAsiaTheme="minorEastAsia"/>
          <w:lang w:val="pt-BR"/>
        </w:rPr>
        <w:t>.</w:t>
      </w:r>
    </w:p>
    <w:p w14:paraId="12D9A771" w14:textId="016800A1" w:rsidR="004646E9" w:rsidRPr="00ED6AC3" w:rsidRDefault="00970943" w:rsidP="00FA42CA">
      <w:pPr>
        <w:pStyle w:val="Heading1"/>
        <w:numPr>
          <w:ilvl w:val="0"/>
          <w:numId w:val="2"/>
        </w:numPr>
        <w:jc w:val="both"/>
        <w:rPr>
          <w:lang w:val="pt-BR"/>
        </w:rPr>
      </w:pPr>
      <w:r w:rsidRPr="00ED6AC3">
        <w:rPr>
          <w:lang w:val="pt-BR"/>
        </w:rPr>
        <w:t xml:space="preserve"> </w:t>
      </w:r>
      <w:r w:rsidR="008F467A" w:rsidRPr="00ED6AC3">
        <w:rPr>
          <w:lang w:val="pt-BR" w:bidi="pt-PT"/>
        </w:rPr>
        <w:t>Envolvimento das partes interessadas</w:t>
      </w:r>
    </w:p>
    <w:p w14:paraId="60FDE5F6" w14:textId="12878909" w:rsidR="008F467A" w:rsidRPr="00ED6AC3" w:rsidRDefault="008F467A" w:rsidP="008F467A">
      <w:pPr>
        <w:spacing w:after="240"/>
        <w:jc w:val="both"/>
        <w:rPr>
          <w:rStyle w:val="normaltextrun"/>
          <w:color w:val="000000" w:themeColor="text1"/>
          <w:lang w:val="pt-BR"/>
        </w:rPr>
      </w:pPr>
      <w:r w:rsidRPr="00ED6AC3">
        <w:rPr>
          <w:rStyle w:val="normaltextrun"/>
          <w:lang w:val="pt-BR" w:bidi="pt-PT"/>
        </w:rPr>
        <w:t xml:space="preserve">A participação de várias partes interessadas está incorporada nas definições básicas da GIRH, como um dos Princípios de Dublin-Rio de 1992. É imperativo que as partes interessadas cujas decisões afetem a gestão e o desenvolvimento coordenados da água, da terra e dos recursos conexos sejam reunidas num diálogo aberto e construtivo. </w:t>
      </w:r>
    </w:p>
    <w:p w14:paraId="4C2C5FDC" w14:textId="076BF4B9" w:rsidR="00450569" w:rsidRPr="00ED6AC3" w:rsidRDefault="008F467A" w:rsidP="008F467A">
      <w:pPr>
        <w:pStyle w:val="Body"/>
        <w:jc w:val="both"/>
        <w:rPr>
          <w:rStyle w:val="normaltextrun"/>
          <w:lang w:val="pt-BR"/>
        </w:rPr>
      </w:pPr>
      <w:r w:rsidRPr="00ED6AC3">
        <w:rPr>
          <w:rStyle w:val="normaltextrun"/>
          <w:lang w:val="pt-BR" w:bidi="pt-PT"/>
        </w:rPr>
        <w:t xml:space="preserve">Com o objetivo de assegurar a apresentação representativa, equilibrada e consensual do inquérito nacional, os Pontos Focais do ODS 6.5.1 são incentivados a incluir partes interessadas de diferentes setores e níveis como participantes no processo de consulta para </w:t>
      </w:r>
      <w:r w:rsidRPr="00ED6AC3">
        <w:rPr>
          <w:rStyle w:val="normaltextrun"/>
          <w:lang w:val="pt-BR" w:bidi="pt-PT"/>
        </w:rPr>
        <w:lastRenderedPageBreak/>
        <w:t>a monitorização do ODS 6.5.1. O quadro seguinte faculta uma panorâmica dos diferentes grupos de partes interessadas que podem ser convidados para o processo de consulta.</w:t>
      </w:r>
      <w:r w:rsidR="00450569" w:rsidRPr="00ED6AC3">
        <w:rPr>
          <w:rStyle w:val="normaltextrun"/>
          <w:lang w:val="pt-BR"/>
        </w:rPr>
        <w:t xml:space="preserve"> </w:t>
      </w:r>
    </w:p>
    <w:tbl>
      <w:tblPr>
        <w:tblStyle w:val="GridTable1Light-Accent1"/>
        <w:tblW w:w="0" w:type="auto"/>
        <w:tblInd w:w="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82"/>
        <w:gridCol w:w="6834"/>
      </w:tblGrid>
      <w:tr w:rsidR="008F467A" w:rsidRPr="00ED6AC3" w14:paraId="0B1D5B3B" w14:textId="77777777" w:rsidTr="1C46DEE2">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82" w:type="dxa"/>
            <w:shd w:val="clear" w:color="auto" w:fill="12354E" w:themeFill="accent1" w:themeFillShade="BF"/>
          </w:tcPr>
          <w:p w14:paraId="4E9C81FD" w14:textId="77777777" w:rsidR="008F467A" w:rsidRPr="00ED6AC3" w:rsidRDefault="008F467A" w:rsidP="009F0B4A">
            <w:pPr>
              <w:spacing w:before="120"/>
              <w:rPr>
                <w:rFonts w:eastAsiaTheme="minorEastAsia"/>
                <w:iCs/>
                <w:sz w:val="24"/>
                <w:szCs w:val="20"/>
                <w:lang w:val="pt-BR"/>
              </w:rPr>
            </w:pPr>
            <w:r w:rsidRPr="00ED6AC3">
              <w:rPr>
                <w:rFonts w:eastAsiaTheme="minorEastAsia"/>
                <w:iCs/>
                <w:sz w:val="24"/>
                <w:szCs w:val="20"/>
                <w:lang w:val="pt-BR" w:bidi="pt-PT"/>
              </w:rPr>
              <w:t>Tipo de parte interessada</w:t>
            </w:r>
          </w:p>
        </w:tc>
        <w:tc>
          <w:tcPr>
            <w:tcW w:w="6834" w:type="dxa"/>
            <w:shd w:val="clear" w:color="auto" w:fill="12354E" w:themeFill="accent1" w:themeFillShade="BF"/>
          </w:tcPr>
          <w:p w14:paraId="6533B115" w14:textId="77777777" w:rsidR="008F467A" w:rsidRPr="00ED6AC3" w:rsidRDefault="008F467A" w:rsidP="008F467A">
            <w:pPr>
              <w:spacing w:before="120"/>
              <w:jc w:val="both"/>
              <w:cnfStyle w:val="100000000000" w:firstRow="1" w:lastRow="0" w:firstColumn="0" w:lastColumn="0" w:oddVBand="0" w:evenVBand="0" w:oddHBand="0" w:evenHBand="0" w:firstRowFirstColumn="0" w:firstRowLastColumn="0" w:lastRowFirstColumn="0" w:lastRowLastColumn="0"/>
              <w:rPr>
                <w:rFonts w:eastAsiaTheme="minorEastAsia"/>
                <w:iCs/>
                <w:sz w:val="24"/>
                <w:szCs w:val="20"/>
                <w:lang w:val="pt-BR"/>
              </w:rPr>
            </w:pPr>
            <w:r w:rsidRPr="00ED6AC3">
              <w:rPr>
                <w:rFonts w:eastAsiaTheme="minorEastAsia"/>
                <w:iCs/>
                <w:sz w:val="24"/>
                <w:szCs w:val="20"/>
                <w:lang w:val="pt-BR" w:bidi="pt-PT"/>
              </w:rPr>
              <w:t>Representantes</w:t>
            </w:r>
          </w:p>
        </w:tc>
      </w:tr>
      <w:tr w:rsidR="008F467A" w:rsidRPr="00ED6AC3" w14:paraId="221F31E4"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0041AFCB"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Autoridades da administração central</w:t>
            </w:r>
          </w:p>
        </w:tc>
        <w:tc>
          <w:tcPr>
            <w:tcW w:w="6834" w:type="dxa"/>
          </w:tcPr>
          <w:p w14:paraId="7301AB8D" w14:textId="77777777"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Representantes dos ministérios principais/ministérios responsáveis ​​pelos recursos hídricos, bem como de outros ministérios ou comissões envolvidos ou com impacto nas questões hídricas (por exemplo, agricultura/pecuária, silvicultura, energia, ambiente, turismo, planeamento e desenvolvimento nacional, planeamento urbano, abastecimento de água e saneamento, finanças, alterações climáticas, gestão de riscos, saúde, etc.).  </w:t>
            </w:r>
          </w:p>
        </w:tc>
      </w:tr>
      <w:tr w:rsidR="008F467A" w:rsidRPr="00ED6AC3" w14:paraId="4436B34A"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21C9CED2"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Nível das bacias, dos aquíferos, das áreas protegidas e das cidades</w:t>
            </w:r>
          </w:p>
        </w:tc>
        <w:tc>
          <w:tcPr>
            <w:tcW w:w="6834" w:type="dxa"/>
          </w:tcPr>
          <w:p w14:paraId="561023B5" w14:textId="77777777"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 xml:space="preserve">Autoridades locais selecionadas, representantes de áreas protegidas e organizações com responsabilidade pela gestão ou supervisão de recursos hídricos à escala das bacias hidrográficas, das bacias endorreicas ou dos aquíferos, incluindo corpos de água potencialmente transfronteiriços, para assegurar a coerência nas questões sobre “outros níveis” do inquérito. </w:t>
            </w:r>
          </w:p>
        </w:tc>
      </w:tr>
      <w:tr w:rsidR="008F467A" w:rsidRPr="00ED6AC3" w14:paraId="0938B5E0"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0189043D"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Comunidade científica e tecnológica</w:t>
            </w:r>
          </w:p>
        </w:tc>
        <w:tc>
          <w:tcPr>
            <w:tcW w:w="6834" w:type="dxa"/>
          </w:tcPr>
          <w:p w14:paraId="00745049" w14:textId="77777777"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Instituições académicas, universidades, instituições de investigação, grupos de reflexão e outros órgãos com informações, estudos, dados e análises relevantes sobre diferentes aspetos dos recursos hídricos.  </w:t>
            </w:r>
          </w:p>
        </w:tc>
      </w:tr>
      <w:tr w:rsidR="008F467A" w:rsidRPr="00ED6AC3" w14:paraId="0E4F2E8C"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5FA5F793"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Sociedade civil</w:t>
            </w:r>
          </w:p>
        </w:tc>
        <w:tc>
          <w:tcPr>
            <w:tcW w:w="6834" w:type="dxa"/>
          </w:tcPr>
          <w:p w14:paraId="7D179F82" w14:textId="77777777"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Organizações não governamentais, representantes de grupos comunitários, associações de utentes de água, organizações ambientais e/ou organizações de agricultores com foco na gestão de recursos hídricos. </w:t>
            </w:r>
          </w:p>
        </w:tc>
      </w:tr>
      <w:tr w:rsidR="008F467A" w:rsidRPr="00ED6AC3" w14:paraId="563D62A7"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0EB96F21"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 xml:space="preserve">Equipas nacionais da ONU </w:t>
            </w:r>
          </w:p>
        </w:tc>
        <w:tc>
          <w:tcPr>
            <w:tcW w:w="6834" w:type="dxa"/>
          </w:tcPr>
          <w:p w14:paraId="7AE8F64A" w14:textId="4EE1C0B5"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sz w:val="24"/>
                <w:szCs w:val="20"/>
                <w:lang w:val="pt-BR"/>
              </w:rPr>
            </w:pPr>
            <w:r w:rsidRPr="00ED6AC3">
              <w:rPr>
                <w:rFonts w:eastAsiaTheme="minorEastAsia"/>
                <w:iCs/>
                <w:color w:val="12354E" w:themeColor="accent1" w:themeShade="BF"/>
                <w:sz w:val="24"/>
                <w:szCs w:val="20"/>
                <w:lang w:val="pt-BR" w:bidi="pt-PT"/>
              </w:rPr>
              <w:t xml:space="preserve">As entidades das Nações Unidas mais relevantes para o desenvolvimento sustentável, o ambiente, as considerações sociais e o desenvolvimento económico, que podem ser encontradas </w:t>
            </w:r>
            <w:hyperlink r:id="rId17">
              <w:r w:rsidRPr="00ED6AC3">
                <w:rPr>
                  <w:rStyle w:val="Hyperlink"/>
                  <w:rFonts w:eastAsiaTheme="minorEastAsia"/>
                  <w:iCs/>
                  <w:sz w:val="24"/>
                  <w:szCs w:val="20"/>
                  <w:lang w:val="pt-BR" w:bidi="pt-PT"/>
                </w:rPr>
                <w:t>aqui</w:t>
              </w:r>
            </w:hyperlink>
            <w:r w:rsidRPr="00ED6AC3">
              <w:rPr>
                <w:rFonts w:eastAsiaTheme="minorEastAsia"/>
                <w:iCs/>
                <w:color w:val="12354E" w:themeColor="accent1" w:themeShade="BF"/>
                <w:sz w:val="24"/>
                <w:szCs w:val="20"/>
                <w:lang w:val="pt-BR" w:bidi="pt-PT"/>
              </w:rPr>
              <w:t>. Para efeitos de coesão, as agências podem geralmente ser contactadas por meio do Gabinete do Coordenador Residente.</w:t>
            </w:r>
          </w:p>
        </w:tc>
      </w:tr>
      <w:tr w:rsidR="008F467A" w:rsidRPr="00ED6AC3" w14:paraId="54ED0D0A"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0BFE7E8E"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Parceiros da GWP ou da Cap-Net PNUD no seu país</w:t>
            </w:r>
          </w:p>
        </w:tc>
        <w:tc>
          <w:tcPr>
            <w:tcW w:w="6834" w:type="dxa"/>
          </w:tcPr>
          <w:p w14:paraId="3D49D7EA" w14:textId="77777777"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sz w:val="24"/>
                <w:szCs w:val="20"/>
                <w:lang w:val="pt-BR"/>
              </w:rPr>
            </w:pPr>
            <w:r w:rsidRPr="00ED6AC3">
              <w:rPr>
                <w:rFonts w:eastAsiaTheme="minorEastAsia"/>
                <w:iCs/>
                <w:color w:val="12354E" w:themeColor="accent1" w:themeShade="BF"/>
                <w:sz w:val="24"/>
                <w:szCs w:val="20"/>
                <w:lang w:val="pt-BR" w:bidi="pt-PT"/>
              </w:rPr>
              <w:t xml:space="preserve">Os </w:t>
            </w:r>
            <w:hyperlink r:id="rId18">
              <w:r w:rsidRPr="00ED6AC3">
                <w:rPr>
                  <w:rStyle w:val="Hyperlink"/>
                  <w:rFonts w:eastAsiaTheme="minorEastAsia"/>
                  <w:iCs/>
                  <w:sz w:val="24"/>
                  <w:szCs w:val="20"/>
                  <w:lang w:val="pt-BR" w:bidi="pt-PT"/>
                </w:rPr>
                <w:t>parceiros da GWP</w:t>
              </w:r>
            </w:hyperlink>
            <w:r w:rsidRPr="00ED6AC3">
              <w:rPr>
                <w:rFonts w:eastAsiaTheme="minorEastAsia"/>
                <w:iCs/>
                <w:sz w:val="24"/>
                <w:szCs w:val="20"/>
                <w:lang w:val="pt-BR" w:bidi="pt-PT"/>
              </w:rPr>
              <w:t xml:space="preserve"> </w:t>
            </w:r>
            <w:r w:rsidRPr="00ED6AC3">
              <w:rPr>
                <w:rFonts w:eastAsiaTheme="minorEastAsia"/>
                <w:iCs/>
                <w:color w:val="12354E" w:themeColor="accent1" w:themeShade="BF"/>
                <w:sz w:val="24"/>
                <w:szCs w:val="20"/>
                <w:lang w:val="pt-BR" w:bidi="pt-PT"/>
              </w:rPr>
              <w:t>representam um leque de diferentes partes interessadas de vários setores preocupadas com a GIRH (</w:t>
            </w:r>
            <w:hyperlink r:id="rId19">
              <w:r w:rsidRPr="00ED6AC3">
                <w:rPr>
                  <w:rStyle w:val="Hyperlink"/>
                  <w:rFonts w:eastAsiaTheme="minorEastAsia"/>
                  <w:iCs/>
                  <w:sz w:val="24"/>
                  <w:szCs w:val="20"/>
                  <w:lang w:val="pt-BR" w:bidi="pt-PT"/>
                </w:rPr>
                <w:t>https://www.gwp.org/en/partner/existing-partners/Partner-Search/</w:t>
              </w:r>
            </w:hyperlink>
            <w:r w:rsidRPr="00ED6AC3">
              <w:rPr>
                <w:rFonts w:eastAsiaTheme="minorEastAsia"/>
                <w:iCs/>
                <w:color w:val="12354E" w:themeColor="accent1" w:themeShade="BF"/>
                <w:sz w:val="24"/>
                <w:szCs w:val="20"/>
                <w:lang w:val="pt-BR" w:bidi="pt-PT"/>
              </w:rPr>
              <w:t>). Os</w:t>
            </w:r>
            <w:r w:rsidRPr="00ED6AC3">
              <w:rPr>
                <w:rFonts w:eastAsiaTheme="minorEastAsia"/>
                <w:iCs/>
                <w:sz w:val="24"/>
                <w:szCs w:val="20"/>
                <w:lang w:val="pt-BR" w:bidi="pt-PT"/>
              </w:rPr>
              <w:t xml:space="preserve"> </w:t>
            </w:r>
            <w:hyperlink r:id="rId20" w:history="1">
              <w:r w:rsidRPr="00ED6AC3">
                <w:rPr>
                  <w:rStyle w:val="Hyperlink"/>
                  <w:rFonts w:eastAsiaTheme="minorEastAsia"/>
                  <w:iCs/>
                  <w:sz w:val="24"/>
                  <w:szCs w:val="20"/>
                  <w:lang w:val="pt-BR" w:bidi="pt-PT"/>
                </w:rPr>
                <w:t>parceiros</w:t>
              </w:r>
            </w:hyperlink>
            <w:r w:rsidRPr="00ED6AC3">
              <w:rPr>
                <w:rFonts w:eastAsiaTheme="minorEastAsia"/>
                <w:iCs/>
                <w:sz w:val="24"/>
                <w:szCs w:val="20"/>
                <w:lang w:val="pt-BR" w:bidi="pt-PT"/>
              </w:rPr>
              <w:t xml:space="preserve"> </w:t>
            </w:r>
            <w:r w:rsidRPr="00ED6AC3">
              <w:rPr>
                <w:rFonts w:eastAsiaTheme="minorEastAsia"/>
                <w:iCs/>
                <w:color w:val="12354E" w:themeColor="accent1" w:themeShade="BF"/>
                <w:sz w:val="24"/>
                <w:szCs w:val="20"/>
                <w:lang w:val="pt-BR" w:bidi="pt-PT"/>
              </w:rPr>
              <w:t xml:space="preserve">da Cap-Net PNUD incluem várias </w:t>
            </w:r>
            <w:hyperlink r:id="rId21" w:history="1">
              <w:r w:rsidRPr="00ED6AC3">
                <w:rPr>
                  <w:rStyle w:val="Hyperlink"/>
                  <w:rFonts w:eastAsiaTheme="minorEastAsia"/>
                  <w:iCs/>
                  <w:sz w:val="24"/>
                  <w:szCs w:val="20"/>
                  <w:lang w:val="pt-BR" w:bidi="pt-PT"/>
                </w:rPr>
                <w:t>redes</w:t>
              </w:r>
            </w:hyperlink>
            <w:r w:rsidRPr="00ED6AC3">
              <w:rPr>
                <w:rFonts w:eastAsiaTheme="minorEastAsia"/>
                <w:iCs/>
                <w:sz w:val="24"/>
                <w:szCs w:val="20"/>
                <w:lang w:val="pt-BR" w:bidi="pt-PT"/>
              </w:rPr>
              <w:t xml:space="preserve"> </w:t>
            </w:r>
            <w:r w:rsidRPr="00ED6AC3">
              <w:rPr>
                <w:rFonts w:eastAsiaTheme="minorEastAsia"/>
                <w:iCs/>
                <w:color w:val="12354E" w:themeColor="accent1" w:themeShade="BF"/>
                <w:sz w:val="24"/>
                <w:szCs w:val="20"/>
                <w:lang w:val="pt-BR" w:bidi="pt-PT"/>
              </w:rPr>
              <w:t>e organizações de desenvolvimento e conhecimento cuja capacidade se centra na água.</w:t>
            </w:r>
          </w:p>
        </w:tc>
      </w:tr>
      <w:tr w:rsidR="008F467A" w:rsidRPr="00ED6AC3" w14:paraId="65D8F44D"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251A1B17"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Agentes financeiros, como comissões orçamentais nacionais e ministérios das finanças</w:t>
            </w:r>
          </w:p>
        </w:tc>
        <w:tc>
          <w:tcPr>
            <w:tcW w:w="6834" w:type="dxa"/>
          </w:tcPr>
          <w:p w14:paraId="758E0EC1" w14:textId="77777777"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Representantes dos órgãos governamentais responsáveis ​​pela afetação de verbas à gestão dos recursos hídricos, incluindo ministros das finanças, bancos centrais e outros.</w:t>
            </w:r>
          </w:p>
        </w:tc>
      </w:tr>
      <w:tr w:rsidR="008F467A" w:rsidRPr="00ED6AC3" w14:paraId="293DF944"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4F212748"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lastRenderedPageBreak/>
              <w:t>Negócios e indústria</w:t>
            </w:r>
          </w:p>
        </w:tc>
        <w:tc>
          <w:tcPr>
            <w:tcW w:w="6834" w:type="dxa"/>
          </w:tcPr>
          <w:p w14:paraId="45ECD1EB" w14:textId="77777777"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Empresas com um interesse ambiental, social e económico significativo (bebidas, alimentos, mineração, energia, papel, produtos de consumo, turismo ou outros setores relacionados, incluindo serviços de abastecimento de água). É particularmente importante obter os seus contributos para a pergunta 2.1d sobre a participação do setor privado.</w:t>
            </w:r>
          </w:p>
        </w:tc>
      </w:tr>
      <w:tr w:rsidR="008F467A" w:rsidRPr="00ED6AC3" w14:paraId="47D2B546"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499077D3"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Pontos focais nacionais para o ODS 6 e para outros indicadores e metas dos ODS relacionados com a água</w:t>
            </w:r>
          </w:p>
        </w:tc>
        <w:tc>
          <w:tcPr>
            <w:tcW w:w="6834" w:type="dxa"/>
          </w:tcPr>
          <w:p w14:paraId="4651B67D" w14:textId="061D2F5F"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sz w:val="24"/>
                <w:szCs w:val="20"/>
                <w:lang w:val="pt-BR"/>
              </w:rPr>
            </w:pPr>
            <w:r w:rsidRPr="00ED6AC3">
              <w:rPr>
                <w:rFonts w:eastAsiaTheme="minorEastAsia"/>
                <w:iCs/>
                <w:color w:val="12354E" w:themeColor="accent1" w:themeShade="BF"/>
                <w:sz w:val="24"/>
                <w:szCs w:val="20"/>
                <w:lang w:val="pt-BR" w:bidi="pt-PT"/>
              </w:rPr>
              <w:t>Responsáveis do governo nomeados como pontos focais para cada um dos indicadores e metas dos ODS relacionados com a água, incluindo, entre outros, os contidos no ODS 6. Mediante pedido, estão disponíveis dados de contacto de pontos focais dos indicadores do ODS 6, bem como do ponto focal “geral” do ODS 6, junto do Serviço de Apoio para o ODS 6.5.1 (</w:t>
            </w:r>
            <w:hyperlink r:id="rId22" w:history="1">
              <w:r w:rsidRPr="00ED6AC3">
                <w:rPr>
                  <w:rStyle w:val="Hyperlink"/>
                  <w:rFonts w:eastAsiaTheme="minorEastAsia"/>
                  <w:iCs/>
                  <w:sz w:val="24"/>
                  <w:szCs w:val="20"/>
                  <w:lang w:val="pt-BR" w:bidi="pt-PT"/>
                </w:rPr>
                <w:t>iwrmsdg651@un.org</w:t>
              </w:r>
            </w:hyperlink>
            <w:r w:rsidRPr="00ED6AC3">
              <w:rPr>
                <w:rFonts w:eastAsiaTheme="minorEastAsia"/>
                <w:iCs/>
                <w:color w:val="12354E" w:themeColor="accent1" w:themeShade="BF"/>
                <w:sz w:val="24"/>
                <w:szCs w:val="20"/>
                <w:lang w:val="pt-BR" w:bidi="pt-PT"/>
              </w:rPr>
              <w:t xml:space="preserve">). O Anexo 3 do </w:t>
            </w:r>
            <w:hyperlink r:id="rId23" w:history="1">
              <w:r w:rsidRPr="00ED6AC3">
                <w:rPr>
                  <w:rStyle w:val="Hyperlink"/>
                  <w:rFonts w:eastAsiaTheme="minorEastAsia"/>
                  <w:iCs/>
                  <w:color w:val="92D050"/>
                  <w:sz w:val="24"/>
                  <w:szCs w:val="20"/>
                  <w:lang w:val="pt-BR" w:bidi="pt-PT"/>
                </w:rPr>
                <w:t>Guia de Monitorização do Indicador 6.5.1 dos ODS</w:t>
              </w:r>
            </w:hyperlink>
            <w:r w:rsidRPr="00ED6AC3">
              <w:rPr>
                <w:rFonts w:eastAsiaTheme="minorEastAsia"/>
                <w:iCs/>
                <w:color w:val="12354E" w:themeColor="accent1" w:themeShade="BF"/>
                <w:sz w:val="24"/>
                <w:szCs w:val="20"/>
                <w:lang w:val="pt-BR" w:bidi="pt-PT"/>
              </w:rPr>
              <w:t xml:space="preserve"> faculta uma lista dos pontos focais de indicadores particularmente relevantes para diferentes perguntas do inquérito. O relato sobre todos os indicadores do ODS 6 é coordenado pela ONU Água por meio da Iniciativa de Monitorização Integrada para o ODS 6 (</w:t>
            </w:r>
            <w:hyperlink r:id="rId24" w:history="1">
              <w:r w:rsidRPr="00ED6AC3">
                <w:rPr>
                  <w:rStyle w:val="Hyperlink"/>
                  <w:rFonts w:eastAsiaTheme="minorEastAsia"/>
                  <w:iCs/>
                  <w:sz w:val="24"/>
                  <w:szCs w:val="20"/>
                  <w:lang w:val="pt-BR" w:bidi="pt-PT"/>
                </w:rPr>
                <w:t>IMI-SDG6</w:t>
              </w:r>
            </w:hyperlink>
            <w:r w:rsidRPr="00ED6AC3">
              <w:rPr>
                <w:rFonts w:eastAsiaTheme="minorEastAsia"/>
                <w:iCs/>
                <w:color w:val="12354E" w:themeColor="accent1" w:themeShade="BF"/>
                <w:sz w:val="24"/>
                <w:szCs w:val="20"/>
                <w:lang w:val="pt-BR" w:bidi="pt-PT"/>
              </w:rPr>
              <w:t xml:space="preserve">). As </w:t>
            </w:r>
            <w:hyperlink r:id="rId25" w:history="1">
              <w:r w:rsidRPr="00ED6AC3">
                <w:rPr>
                  <w:rStyle w:val="Hyperlink"/>
                  <w:rFonts w:eastAsiaTheme="minorEastAsia"/>
                  <w:iCs/>
                  <w:sz w:val="24"/>
                  <w:szCs w:val="20"/>
                  <w:lang w:val="pt-BR" w:bidi="pt-PT"/>
                </w:rPr>
                <w:t>ligações</w:t>
              </w:r>
            </w:hyperlink>
            <w:r w:rsidRPr="00ED6AC3">
              <w:rPr>
                <w:rFonts w:eastAsiaTheme="minorEastAsia"/>
                <w:iCs/>
                <w:sz w:val="24"/>
                <w:szCs w:val="20"/>
                <w:lang w:val="pt-BR" w:bidi="pt-PT"/>
              </w:rPr>
              <w:t xml:space="preserve"> </w:t>
            </w:r>
            <w:r w:rsidRPr="00ED6AC3">
              <w:rPr>
                <w:rFonts w:eastAsiaTheme="minorEastAsia"/>
                <w:iCs/>
                <w:color w:val="12354E" w:themeColor="accent1" w:themeShade="BF"/>
                <w:sz w:val="24"/>
                <w:szCs w:val="20"/>
                <w:lang w:val="pt-BR" w:bidi="pt-PT"/>
              </w:rPr>
              <w:t xml:space="preserve">a outros indicadores e metas relevantes incluem: ODS 5.5 (género), ODS 11.5 (desastres, incluindo os relacionados com a água), para mencionar apenas alguns. Dados de contacto de outros pontos focais nacionais deverão estar disponíveis nos canais oficiais dos governos ou através dos </w:t>
            </w:r>
            <w:hyperlink r:id="rId26" w:history="1">
              <w:r w:rsidRPr="00ED6AC3">
                <w:rPr>
                  <w:rStyle w:val="Hyperlink"/>
                  <w:rFonts w:eastAsiaTheme="minorEastAsia"/>
                  <w:iCs/>
                  <w:sz w:val="24"/>
                  <w:szCs w:val="20"/>
                  <w:lang w:val="pt-BR" w:bidi="pt-PT"/>
                </w:rPr>
                <w:t>pontos focais globais</w:t>
              </w:r>
            </w:hyperlink>
            <w:r w:rsidRPr="00ED6AC3">
              <w:rPr>
                <w:rFonts w:eastAsiaTheme="minorEastAsia"/>
                <w:iCs/>
                <w:color w:val="12354E" w:themeColor="accent1" w:themeShade="BF"/>
                <w:sz w:val="24"/>
                <w:szCs w:val="20"/>
                <w:lang w:val="pt-BR" w:bidi="pt-PT"/>
              </w:rPr>
              <w:t>.</w:t>
            </w:r>
          </w:p>
        </w:tc>
      </w:tr>
      <w:tr w:rsidR="008F467A" w:rsidRPr="00ED6AC3" w14:paraId="70213152"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79810C6D"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Grupos de defesa da igualdade de género</w:t>
            </w:r>
          </w:p>
        </w:tc>
        <w:tc>
          <w:tcPr>
            <w:tcW w:w="6834" w:type="dxa"/>
          </w:tcPr>
          <w:p w14:paraId="66C6B52B" w14:textId="77777777"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A identificação e o envolvimento de organizações baseadas no género podem significar que as oportunidades e os benefícios das intervenções relacionadas com a água fiquem igualmente disponíveis para todos os géneros. Tal deve ser considerado para todas as perguntas, embora seja essencial para a pergunta 2.2d. Também pode ser considerado o ponto focal para as metas do ODS 5.</w:t>
            </w:r>
          </w:p>
        </w:tc>
      </w:tr>
      <w:tr w:rsidR="008F467A" w:rsidRPr="00ED6AC3" w14:paraId="7C808D67"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446E1CE9"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Grupos vulneráveis, incluindo povos indígenas</w:t>
            </w:r>
          </w:p>
        </w:tc>
        <w:tc>
          <w:tcPr>
            <w:tcW w:w="6834" w:type="dxa"/>
          </w:tcPr>
          <w:p w14:paraId="4F57F5E1" w14:textId="77777777"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Representantes de instituições e grupos organizados que defendem os direitos, interesses e perspetivas de grupos vulneráveis, conforme definido no inquérito sobre o 6.5.1. É particularmente importante escutar a voz dos povos indígenas e obter a sua opinião sobre a pergunta 2.2c sobre grupos vulneráveis, entre outras. Note-se que as consultas podem ter de prever outros idiomas que não o predominante no país.</w:t>
            </w:r>
          </w:p>
        </w:tc>
      </w:tr>
      <w:tr w:rsidR="008F467A" w:rsidRPr="00ED6AC3" w14:paraId="13A0FA60" w14:textId="77777777" w:rsidTr="1C46DEE2">
        <w:trPr>
          <w:trHeight w:val="300"/>
        </w:trPr>
        <w:tc>
          <w:tcPr>
            <w:cnfStyle w:val="001000000000" w:firstRow="0" w:lastRow="0" w:firstColumn="1" w:lastColumn="0" w:oddVBand="0" w:evenVBand="0" w:oddHBand="0" w:evenHBand="0" w:firstRowFirstColumn="0" w:firstRowLastColumn="0" w:lastRowFirstColumn="0" w:lastRowLastColumn="0"/>
            <w:tcW w:w="2182" w:type="dxa"/>
          </w:tcPr>
          <w:p w14:paraId="6ABDB25C" w14:textId="77777777" w:rsidR="008F467A" w:rsidRPr="00ED6AC3" w:rsidRDefault="008F467A" w:rsidP="009F0B4A">
            <w:pPr>
              <w:spacing w:before="12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Jovens</w:t>
            </w:r>
          </w:p>
        </w:tc>
        <w:tc>
          <w:tcPr>
            <w:tcW w:w="6834" w:type="dxa"/>
          </w:tcPr>
          <w:p w14:paraId="0A705CB3" w14:textId="77777777" w:rsidR="008F467A" w:rsidRPr="00ED6AC3" w:rsidRDefault="008F467A" w:rsidP="008F467A">
            <w:pPr>
              <w:spacing w:before="120"/>
              <w:jc w:val="both"/>
              <w:cnfStyle w:val="000000000000" w:firstRow="0" w:lastRow="0" w:firstColumn="0" w:lastColumn="0" w:oddVBand="0" w:evenVBand="0" w:oddHBand="0" w:evenHBand="0" w:firstRowFirstColumn="0" w:firstRowLastColumn="0" w:lastRowFirstColumn="0" w:lastRowLastColumn="0"/>
              <w:rPr>
                <w:rFonts w:eastAsiaTheme="minorEastAsia"/>
                <w:iCs/>
                <w:color w:val="12354E" w:themeColor="accent1" w:themeShade="BF"/>
                <w:sz w:val="24"/>
                <w:szCs w:val="20"/>
                <w:lang w:val="pt-BR"/>
              </w:rPr>
            </w:pPr>
            <w:r w:rsidRPr="00ED6AC3">
              <w:rPr>
                <w:rFonts w:eastAsiaTheme="minorEastAsia"/>
                <w:iCs/>
                <w:color w:val="12354E" w:themeColor="accent1" w:themeShade="BF"/>
                <w:sz w:val="24"/>
                <w:szCs w:val="20"/>
                <w:lang w:val="pt-BR" w:bidi="pt-PT"/>
              </w:rPr>
              <w:t>As organizações de juventude já envolvidas nos temas da água ou do desenvolvimento sustentável podem ser um bom ponto de partida no sentido de identificar os melhores participantes para apoiar a monitorização do ODS 6.5.1. Podem também ser convidados representantes de jovens de qualquer dos grupos de partes interessadas ​​mencionados acima.</w:t>
            </w:r>
          </w:p>
        </w:tc>
      </w:tr>
    </w:tbl>
    <w:p w14:paraId="674D7577" w14:textId="1ABCD495" w:rsidR="002A0CCF" w:rsidRPr="00ED6AC3" w:rsidRDefault="004347D5" w:rsidP="002A0CCF">
      <w:pPr>
        <w:spacing w:before="120"/>
        <w:jc w:val="both"/>
        <w:rPr>
          <w:rFonts w:eastAsiaTheme="minorEastAsia"/>
          <w:i/>
          <w:iCs/>
          <w:color w:val="12354E" w:themeColor="accent1" w:themeShade="BF"/>
          <w:sz w:val="20"/>
          <w:szCs w:val="20"/>
          <w:lang w:val="pt-BR"/>
        </w:rPr>
      </w:pPr>
      <w:r w:rsidRPr="00ED6AC3">
        <w:rPr>
          <w:rFonts w:eastAsiaTheme="minorEastAsia"/>
          <w:i/>
          <w:iCs/>
          <w:color w:val="12354E" w:themeColor="accent1" w:themeShade="BF"/>
          <w:sz w:val="20"/>
          <w:szCs w:val="20"/>
          <w:lang w:val="pt-BR" w:bidi="pt-PT"/>
        </w:rPr>
        <w:t>Quadro 1. Grupos de partes interessadas recomendados para envolvimento no processo de consulta</w:t>
      </w:r>
    </w:p>
    <w:p w14:paraId="1FE9995B" w14:textId="5CBB8DD0" w:rsidR="002D1210" w:rsidRPr="00ED6AC3" w:rsidRDefault="002D1210" w:rsidP="002D1210">
      <w:pPr>
        <w:pStyle w:val="Body"/>
        <w:jc w:val="both"/>
        <w:rPr>
          <w:rFonts w:cstheme="minorHAnsi"/>
          <w:lang w:val="pt-BR"/>
        </w:rPr>
      </w:pPr>
    </w:p>
    <w:p w14:paraId="4094951A" w14:textId="03D16EDD" w:rsidR="004646E9" w:rsidRPr="00ED6AC3" w:rsidRDefault="00970943" w:rsidP="00FA42CA">
      <w:pPr>
        <w:pStyle w:val="Heading1"/>
        <w:numPr>
          <w:ilvl w:val="0"/>
          <w:numId w:val="2"/>
        </w:numPr>
        <w:jc w:val="both"/>
        <w:rPr>
          <w:lang w:val="pt-BR"/>
        </w:rPr>
      </w:pPr>
      <w:r w:rsidRPr="00ED6AC3">
        <w:rPr>
          <w:lang w:val="pt-BR"/>
        </w:rPr>
        <w:lastRenderedPageBreak/>
        <w:t xml:space="preserve"> </w:t>
      </w:r>
      <w:r w:rsidR="00A0315D" w:rsidRPr="00ED6AC3">
        <w:rPr>
          <w:lang w:val="pt-BR" w:bidi="pt-PT"/>
        </w:rPr>
        <w:t>Processo de consulta sugerido</w:t>
      </w:r>
    </w:p>
    <w:p w14:paraId="4D62787B" w14:textId="16968B2D" w:rsidR="00A0315D" w:rsidRPr="00ED6AC3" w:rsidRDefault="00A0315D" w:rsidP="00037028">
      <w:pPr>
        <w:keepNext/>
        <w:spacing w:before="40" w:line="259" w:lineRule="auto"/>
        <w:jc w:val="both"/>
        <w:outlineLvl w:val="1"/>
        <w:rPr>
          <w:rFonts w:ascii="Calibri" w:hAnsi="Calibri" w:cs="Calibri"/>
          <w:color w:val="EC531E" w:themeColor="accent6" w:themeShade="BF"/>
          <w:lang w:val="pt-BR"/>
        </w:rPr>
      </w:pPr>
      <w:r w:rsidRPr="00ED6AC3">
        <w:rPr>
          <w:lang w:val="pt-BR" w:bidi="pt-PT"/>
        </w:rPr>
        <w:t xml:space="preserve">Embora a medida e o modo de envolvimento das partes interessadas nos processos de consulta das partes interessadas do país sejam definidos pelo Ponto Focal do ODS 6.5.1 e pelas suas equipas, esta secção descreve algumas sugestões sobre o modo como esses processos podem ser organizados. </w:t>
      </w:r>
      <w:r w:rsidRPr="00ED6AC3">
        <w:rPr>
          <w:b/>
          <w:bCs/>
          <w:color w:val="EC531E" w:themeColor="accent6" w:themeShade="BF"/>
          <w:lang w:val="pt-BR" w:bidi="pt-PT"/>
        </w:rPr>
        <w:t xml:space="preserve">As frases a vermelho são relevantes para os países diretamente auxiliados pelo Programa de Apoio à GIRH do ODS 6 no processo de relato do ODS 6.5.1. </w:t>
      </w:r>
    </w:p>
    <w:p w14:paraId="00FBBCEB" w14:textId="55B4DE93" w:rsidR="000E5AD0" w:rsidRPr="00ED6AC3" w:rsidRDefault="00A0315D" w:rsidP="00037028">
      <w:pPr>
        <w:pStyle w:val="Body"/>
        <w:jc w:val="both"/>
        <w:rPr>
          <w:lang w:val="pt-BR"/>
        </w:rPr>
      </w:pPr>
      <w:r w:rsidRPr="00ED6AC3">
        <w:rPr>
          <w:lang w:val="pt-BR" w:bidi="pt-PT"/>
        </w:rPr>
        <w:t>O processo pode ser aproximadamente dividido em quatro fases, conforme ilustrado abaixo.</w:t>
      </w:r>
    </w:p>
    <w:p w14:paraId="548B4322" w14:textId="470565CF" w:rsidR="000E5AD0" w:rsidRPr="00ED6AC3" w:rsidRDefault="00357599" w:rsidP="000E5AD0">
      <w:pPr>
        <w:pStyle w:val="Body"/>
        <w:jc w:val="both"/>
        <w:rPr>
          <w:lang w:val="pt-BR"/>
        </w:rPr>
      </w:pPr>
      <w:r w:rsidRPr="00ED6AC3">
        <w:rPr>
          <w:noProof/>
          <w:lang w:val="pt-BR"/>
        </w:rPr>
        <w:drawing>
          <wp:inline distT="0" distB="0" distL="0" distR="0" wp14:anchorId="351F8B65" wp14:editId="573D5490">
            <wp:extent cx="5699125" cy="1076325"/>
            <wp:effectExtent l="57150" t="0" r="53975" b="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0E084FF6" w14:textId="0ADB6ADA" w:rsidR="00357599" w:rsidRPr="00ED6AC3" w:rsidRDefault="00A0315D" w:rsidP="00357599">
      <w:pPr>
        <w:spacing w:before="120"/>
        <w:jc w:val="both"/>
        <w:rPr>
          <w:rFonts w:eastAsiaTheme="minorEastAsia"/>
          <w:i/>
          <w:iCs/>
          <w:color w:val="12354E" w:themeColor="accent1" w:themeShade="BF"/>
          <w:sz w:val="20"/>
          <w:szCs w:val="20"/>
          <w:lang w:val="pt-BR"/>
        </w:rPr>
      </w:pPr>
      <w:r w:rsidRPr="00ED6AC3">
        <w:rPr>
          <w:rFonts w:eastAsiaTheme="minorEastAsia"/>
          <w:i/>
          <w:iCs/>
          <w:color w:val="12354E" w:themeColor="accent1" w:themeShade="BF"/>
          <w:sz w:val="20"/>
          <w:szCs w:val="20"/>
          <w:lang w:val="pt-BR" w:bidi="pt-PT"/>
        </w:rPr>
        <w:t xml:space="preserve">Figura </w:t>
      </w:r>
      <w:r w:rsidRPr="00ED6AC3">
        <w:rPr>
          <w:rFonts w:eastAsiaTheme="minorEastAsia"/>
          <w:i/>
          <w:iCs/>
          <w:color w:val="12354E" w:themeColor="accent1" w:themeShade="BF"/>
          <w:sz w:val="20"/>
          <w:szCs w:val="20"/>
          <w:lang w:val="pt-BR" w:bidi="pt-PT"/>
        </w:rPr>
        <w:fldChar w:fldCharType="begin"/>
      </w:r>
      <w:r w:rsidRPr="00ED6AC3">
        <w:rPr>
          <w:rFonts w:eastAsiaTheme="minorEastAsia"/>
          <w:i/>
          <w:iCs/>
          <w:color w:val="12354E" w:themeColor="accent1" w:themeShade="BF"/>
          <w:sz w:val="20"/>
          <w:szCs w:val="20"/>
          <w:lang w:val="pt-BR" w:bidi="pt-PT"/>
        </w:rPr>
        <w:instrText xml:space="preserve"> SEQ Figure \* ARABIC </w:instrText>
      </w:r>
      <w:r w:rsidRPr="00ED6AC3">
        <w:rPr>
          <w:rFonts w:eastAsiaTheme="minorEastAsia"/>
          <w:i/>
          <w:iCs/>
          <w:color w:val="12354E" w:themeColor="accent1" w:themeShade="BF"/>
          <w:sz w:val="20"/>
          <w:szCs w:val="20"/>
          <w:lang w:val="pt-BR" w:bidi="pt-PT"/>
        </w:rPr>
        <w:fldChar w:fldCharType="separate"/>
      </w:r>
      <w:r w:rsidRPr="00ED6AC3">
        <w:rPr>
          <w:rFonts w:eastAsiaTheme="minorEastAsia"/>
          <w:i/>
          <w:iCs/>
          <w:color w:val="12354E" w:themeColor="accent1" w:themeShade="BF"/>
          <w:sz w:val="20"/>
          <w:szCs w:val="20"/>
          <w:lang w:val="pt-BR" w:bidi="pt-PT"/>
        </w:rPr>
        <w:t>1</w:t>
      </w:r>
      <w:r w:rsidRPr="00ED6AC3">
        <w:rPr>
          <w:rFonts w:eastAsiaTheme="minorEastAsia"/>
          <w:i/>
          <w:iCs/>
          <w:color w:val="12354E" w:themeColor="accent1" w:themeShade="BF"/>
          <w:sz w:val="20"/>
          <w:szCs w:val="20"/>
          <w:lang w:val="pt-BR"/>
        </w:rPr>
        <w:fldChar w:fldCharType="end"/>
      </w:r>
      <w:r w:rsidRPr="00ED6AC3">
        <w:rPr>
          <w:rFonts w:eastAsiaTheme="minorEastAsia"/>
          <w:i/>
          <w:iCs/>
          <w:color w:val="12354E" w:themeColor="accent1" w:themeShade="BF"/>
          <w:sz w:val="20"/>
          <w:szCs w:val="20"/>
          <w:lang w:val="pt-BR" w:bidi="pt-PT"/>
        </w:rPr>
        <w:t>. Panorâmica das quatro fases de uma consulta nacional a partes interessadas sobre o ODS 6.5.1</w:t>
      </w:r>
    </w:p>
    <w:p w14:paraId="007BFB5C" w14:textId="77777777" w:rsidR="00357599" w:rsidRPr="00ED6AC3" w:rsidRDefault="00357599" w:rsidP="000E5AD0">
      <w:pPr>
        <w:pStyle w:val="Body"/>
        <w:jc w:val="both"/>
        <w:rPr>
          <w:lang w:val="pt-BR"/>
        </w:rPr>
      </w:pPr>
    </w:p>
    <w:p w14:paraId="713C120F" w14:textId="3DC73447" w:rsidR="00357599" w:rsidRPr="00ED6AC3" w:rsidRDefault="00A0315D" w:rsidP="00A0315D">
      <w:pPr>
        <w:pStyle w:val="ListParagraph"/>
        <w:numPr>
          <w:ilvl w:val="1"/>
          <w:numId w:val="3"/>
        </w:numPr>
        <w:rPr>
          <w:b/>
          <w:bCs/>
          <w:color w:val="20A6CA" w:themeColor="accent2"/>
          <w:sz w:val="36"/>
          <w:szCs w:val="36"/>
          <w:lang w:val="pt-BR"/>
        </w:rPr>
      </w:pPr>
      <w:r w:rsidRPr="00ED6AC3">
        <w:rPr>
          <w:b/>
          <w:bCs/>
          <w:color w:val="20A6CA" w:themeColor="accent2"/>
          <w:sz w:val="36"/>
          <w:szCs w:val="36"/>
          <w:lang w:val="pt-BR"/>
        </w:rPr>
        <w:t>Preparação</w:t>
      </w:r>
    </w:p>
    <w:p w14:paraId="1C836B26" w14:textId="71F02506" w:rsidR="00A0315D" w:rsidRPr="00ED6AC3" w:rsidRDefault="00A0315D" w:rsidP="00A0315D">
      <w:pPr>
        <w:spacing w:after="120"/>
        <w:jc w:val="both"/>
        <w:rPr>
          <w:rFonts w:ascii="Calibri" w:hAnsi="Calibri" w:cs="Calibri"/>
          <w:color w:val="12354E" w:themeColor="accent1" w:themeShade="BF"/>
          <w:lang w:val="pt-BR"/>
        </w:rPr>
      </w:pPr>
      <w:r w:rsidRPr="00ED6AC3">
        <w:rPr>
          <w:color w:val="12354E" w:themeColor="accent1" w:themeShade="BF"/>
          <w:lang w:val="pt-BR" w:bidi="pt-PT"/>
        </w:rPr>
        <w:t xml:space="preserve">A </w:t>
      </w:r>
      <w:r w:rsidRPr="00ED6AC3">
        <w:rPr>
          <w:i/>
          <w:color w:val="12354E" w:themeColor="accent1" w:themeShade="BF"/>
          <w:lang w:val="pt-BR" w:bidi="pt-PT"/>
        </w:rPr>
        <w:t>fase preparatória</w:t>
      </w:r>
      <w:r w:rsidRPr="00ED6AC3">
        <w:rPr>
          <w:color w:val="12354E" w:themeColor="accent1" w:themeShade="BF"/>
          <w:lang w:val="pt-BR" w:bidi="pt-PT"/>
        </w:rPr>
        <w:t xml:space="preserve"> deve começar pelo </w:t>
      </w:r>
      <w:r w:rsidRPr="00ED6AC3">
        <w:rPr>
          <w:b/>
          <w:color w:val="12354E" w:themeColor="accent1" w:themeShade="BF"/>
          <w:lang w:val="pt-BR" w:bidi="pt-PT"/>
        </w:rPr>
        <w:t>esclarecimento sobre quem organizará e conduzirá a consulta às partes interessadas.</w:t>
      </w:r>
      <w:r w:rsidRPr="00ED6AC3">
        <w:rPr>
          <w:color w:val="12354E" w:themeColor="accent1" w:themeShade="BF"/>
          <w:lang w:val="pt-BR" w:bidi="pt-PT"/>
        </w:rPr>
        <w:t xml:space="preserve"> Tal pode ser efetuado diretamente através do Ponto Focal ou de uma pequena equipa por ele nomeada ou implementado pela </w:t>
      </w:r>
      <w:r w:rsidRPr="00ED6AC3">
        <w:rPr>
          <w:b/>
          <w:color w:val="12354E" w:themeColor="accent1" w:themeShade="BF"/>
          <w:lang w:val="pt-BR" w:bidi="pt-PT"/>
        </w:rPr>
        <w:t>identificação ou contratação de um facilitador dedicado,</w:t>
      </w:r>
      <w:r w:rsidRPr="00ED6AC3">
        <w:rPr>
          <w:color w:val="12354E" w:themeColor="accent1" w:themeShade="BF"/>
          <w:lang w:val="pt-BR" w:bidi="pt-PT"/>
        </w:rPr>
        <w:t xml:space="preserve"> com conhecimento sobre a GIRH e o contexto do desenvolvimento em geral e com bons contactos com as diferentes partes interessadas. </w:t>
      </w:r>
      <w:r w:rsidRPr="00ED6AC3">
        <w:rPr>
          <w:color w:val="EC531E" w:themeColor="accent6" w:themeShade="BF"/>
          <w:lang w:val="pt-BR" w:bidi="pt-PT"/>
        </w:rPr>
        <w:t xml:space="preserve">Para os países apoiados diretamente pelo Programa de Apoio à GIRH do ODS 6, recomenda-se com veemência a contratação de um facilitador dedicado e qualificado. </w:t>
      </w:r>
      <w:r w:rsidRPr="00ED6AC3">
        <w:rPr>
          <w:color w:val="12354E" w:themeColor="accent1" w:themeShade="BF"/>
          <w:lang w:val="pt-BR" w:bidi="pt-PT"/>
        </w:rPr>
        <w:t xml:space="preserve">O facilitador deve apoiar o Ponto Focal do 6.5.1 na preparação e na implementação do processo de consulta às partes interessadas. O </w:t>
      </w:r>
      <w:hyperlink r:id="rId32" w:history="1">
        <w:r w:rsidRPr="00ED6AC3">
          <w:rPr>
            <w:rStyle w:val="Hyperlink"/>
            <w:i/>
            <w:color w:val="92D050"/>
            <w:lang w:val="pt-BR" w:bidi="pt-PT"/>
          </w:rPr>
          <w:t>Anexo 4</w:t>
        </w:r>
      </w:hyperlink>
      <w:r w:rsidRPr="00ED6AC3">
        <w:rPr>
          <w:color w:val="12354E" w:themeColor="accent1" w:themeShade="BF"/>
          <w:lang w:val="pt-BR" w:bidi="pt-PT"/>
        </w:rPr>
        <w:t xml:space="preserve"> contém uma panorâmica mais pormenorizada das tarefas sugeridas para o facilitador. </w:t>
      </w:r>
    </w:p>
    <w:p w14:paraId="78B24CBF" w14:textId="5DBBFE1F" w:rsidR="00A0315D" w:rsidRPr="00ED6AC3" w:rsidRDefault="00A0315D" w:rsidP="00A0315D">
      <w:pPr>
        <w:spacing w:after="120"/>
        <w:jc w:val="both"/>
        <w:rPr>
          <w:rFonts w:ascii="Calibri" w:hAnsi="Calibri" w:cs="Calibri"/>
          <w:color w:val="12354E" w:themeColor="accent1" w:themeShade="BF"/>
          <w:lang w:val="pt-BR"/>
        </w:rPr>
      </w:pPr>
      <w:r w:rsidRPr="00ED6AC3">
        <w:rPr>
          <w:color w:val="12354E" w:themeColor="accent1" w:themeShade="BF"/>
          <w:lang w:val="pt-BR" w:bidi="pt-PT"/>
        </w:rPr>
        <w:t xml:space="preserve">Recomenda-se que os facilitadores e os Pontos Focais do ODS 6.5.1 façam o curso </w:t>
      </w:r>
      <w:r w:rsidRPr="00ED6AC3">
        <w:rPr>
          <w:i/>
          <w:color w:val="12354E" w:themeColor="accent1" w:themeShade="BF"/>
          <w:lang w:val="pt-BR" w:bidi="pt-PT"/>
        </w:rPr>
        <w:t xml:space="preserve">online </w:t>
      </w:r>
      <w:r w:rsidRPr="00ED6AC3">
        <w:rPr>
          <w:color w:val="12354E" w:themeColor="accent1" w:themeShade="BF"/>
          <w:lang w:val="pt-BR" w:bidi="pt-PT"/>
        </w:rPr>
        <w:t xml:space="preserve">autogerido </w:t>
      </w:r>
      <w:hyperlink r:id="rId33" w:history="1">
        <w:r w:rsidRPr="00ED6AC3">
          <w:rPr>
            <w:rStyle w:val="Hyperlink"/>
            <w:color w:val="92D050"/>
            <w:lang w:val="pt-BR" w:bidi="pt-PT"/>
          </w:rPr>
          <w:t>Curso de Formação de</w:t>
        </w:r>
        <w:r w:rsidR="008C759E" w:rsidRPr="00ED6AC3">
          <w:rPr>
            <w:rStyle w:val="Hyperlink"/>
            <w:color w:val="92D050"/>
            <w:lang w:val="pt-BR" w:bidi="pt-PT"/>
          </w:rPr>
          <w:t xml:space="preserve"> Facilitadores para o ODS 6.5.1</w:t>
        </w:r>
      </w:hyperlink>
      <w:r w:rsidRPr="00ED6AC3">
        <w:rPr>
          <w:color w:val="12354E" w:themeColor="accent1" w:themeShade="BF"/>
          <w:lang w:val="pt-BR" w:bidi="pt-PT"/>
        </w:rPr>
        <w:t xml:space="preserve">. </w:t>
      </w:r>
      <w:r w:rsidRPr="00ED6AC3">
        <w:rPr>
          <w:color w:val="EC531E" w:themeColor="accent6" w:themeShade="BF"/>
          <w:lang w:val="pt-BR" w:bidi="pt-PT"/>
        </w:rPr>
        <w:t>Para os facilitadores contratados no âmbito do Programa de Apoio à GIRH do ODS 6, a conclusão do curso é obrigatória.</w:t>
      </w:r>
      <w:r w:rsidRPr="00ED6AC3">
        <w:rPr>
          <w:color w:val="12354E" w:themeColor="accent1" w:themeShade="BF"/>
          <w:lang w:val="pt-BR" w:bidi="pt-PT"/>
        </w:rPr>
        <w:t xml:space="preserve"> O curso oferece uma panorâmica do processo de relato do ODS 6.5.1 e faculta sugestões e truques sobre como efetuar uma consulta das partes interessadas com êxito. Está disponível em espanhol, francês e inglês e é aberto e gratuito para qualquer pessoa interessada no relato nacional sobre o ODS 6.5.1. </w:t>
      </w:r>
    </w:p>
    <w:p w14:paraId="6B372136" w14:textId="77777777" w:rsidR="00A0315D" w:rsidRPr="00ED6AC3" w:rsidRDefault="00A0315D" w:rsidP="00A0315D">
      <w:pPr>
        <w:spacing w:after="120"/>
        <w:jc w:val="both"/>
        <w:rPr>
          <w:rFonts w:ascii="Calibri" w:hAnsi="Calibri" w:cs="Calibri"/>
          <w:color w:val="12354E" w:themeColor="accent1" w:themeShade="BF"/>
          <w:lang w:val="pt-BR"/>
        </w:rPr>
      </w:pPr>
      <w:r w:rsidRPr="00ED6AC3">
        <w:rPr>
          <w:color w:val="12354E" w:themeColor="accent1" w:themeShade="BF"/>
          <w:lang w:val="pt-BR" w:bidi="pt-PT"/>
        </w:rPr>
        <w:t xml:space="preserve">Além disso, o facilitador e/ou o Ponto Focal devem </w:t>
      </w:r>
      <w:r w:rsidRPr="00ED6AC3">
        <w:rPr>
          <w:b/>
          <w:color w:val="12354E" w:themeColor="accent1" w:themeShade="BF"/>
          <w:lang w:val="pt-BR" w:bidi="pt-PT"/>
        </w:rPr>
        <w:t>recolher e analisar informações relevantes,</w:t>
      </w:r>
      <w:r w:rsidRPr="00ED6AC3">
        <w:rPr>
          <w:color w:val="12354E" w:themeColor="accent1" w:themeShade="BF"/>
          <w:lang w:val="pt-BR" w:bidi="pt-PT"/>
        </w:rPr>
        <w:t xml:space="preserve"> incluindo: </w:t>
      </w:r>
    </w:p>
    <w:p w14:paraId="3D020F20" w14:textId="75F197BA" w:rsidR="00A0315D" w:rsidRPr="00ED6AC3" w:rsidRDefault="00A0315D" w:rsidP="00A0315D">
      <w:pPr>
        <w:pStyle w:val="ListParagraph"/>
        <w:numPr>
          <w:ilvl w:val="0"/>
          <w:numId w:val="4"/>
        </w:numPr>
        <w:spacing w:after="120" w:line="259" w:lineRule="auto"/>
        <w:jc w:val="both"/>
        <w:rPr>
          <w:lang w:val="pt-BR"/>
        </w:rPr>
      </w:pPr>
      <w:r w:rsidRPr="00ED6AC3">
        <w:rPr>
          <w:u w:val="single"/>
          <w:lang w:val="pt-BR" w:bidi="pt-PT"/>
        </w:rPr>
        <w:t>A versão mais recente do guia oficial sobre o inquérito</w:t>
      </w:r>
      <w:r w:rsidRPr="00ED6AC3">
        <w:rPr>
          <w:lang w:val="pt-BR" w:bidi="pt-PT"/>
        </w:rPr>
        <w:t xml:space="preserve"> e a monitorização do ODS 6.5.1, disponível no </w:t>
      </w:r>
      <w:hyperlink r:id="rId34" w:history="1">
        <w:r w:rsidRPr="00ED6AC3">
          <w:rPr>
            <w:color w:val="92D050"/>
            <w:lang w:val="pt-BR" w:bidi="pt-PT"/>
          </w:rPr>
          <w:t>Portal de Dados de GIRH</w:t>
        </w:r>
      </w:hyperlink>
      <w:r w:rsidRPr="00ED6AC3">
        <w:rPr>
          <w:lang w:val="pt-BR" w:bidi="pt-PT"/>
        </w:rPr>
        <w:t xml:space="preserve">; </w:t>
      </w:r>
    </w:p>
    <w:p w14:paraId="130B17DE" w14:textId="77777777" w:rsidR="00A0315D" w:rsidRPr="00ED6AC3" w:rsidRDefault="00A0315D" w:rsidP="00A0315D">
      <w:pPr>
        <w:pStyle w:val="ListParagraph"/>
        <w:numPr>
          <w:ilvl w:val="0"/>
          <w:numId w:val="4"/>
        </w:numPr>
        <w:spacing w:after="120" w:line="259" w:lineRule="auto"/>
        <w:jc w:val="both"/>
        <w:rPr>
          <w:rStyle w:val="FootnoteReference"/>
          <w:lang w:val="pt-BR"/>
        </w:rPr>
      </w:pPr>
      <w:r w:rsidRPr="00ED6AC3">
        <w:rPr>
          <w:u w:val="single"/>
          <w:lang w:val="pt-BR" w:bidi="pt-PT"/>
        </w:rPr>
        <w:lastRenderedPageBreak/>
        <w:t>Informações nacionais sobre o indicador apresentadas anteriormente</w:t>
      </w:r>
      <w:r w:rsidRPr="00ED6AC3">
        <w:rPr>
          <w:lang w:val="pt-BR" w:bidi="pt-PT"/>
        </w:rPr>
        <w:t xml:space="preserve"> (dos anos 2017 e 2020) disponíveis no </w:t>
      </w:r>
      <w:hyperlink r:id="rId35" w:history="1">
        <w:r w:rsidRPr="00ED6AC3">
          <w:rPr>
            <w:color w:val="92D050"/>
            <w:lang w:val="pt-BR" w:bidi="pt-PT"/>
          </w:rPr>
          <w:t>Portal de Dados de GIRH</w:t>
        </w:r>
      </w:hyperlink>
      <w:r w:rsidRPr="00ED6AC3">
        <w:rPr>
          <w:lang w:val="pt-BR" w:bidi="pt-PT"/>
        </w:rPr>
        <w:t>. Estas podem servir como ponto de partida útil para discussão com as partes interessadas;</w:t>
      </w:r>
    </w:p>
    <w:p w14:paraId="2B9F5FF0" w14:textId="77777777" w:rsidR="00A0315D" w:rsidRPr="00ED6AC3" w:rsidRDefault="00A0315D" w:rsidP="00A0315D">
      <w:pPr>
        <w:pStyle w:val="ListParagraph"/>
        <w:numPr>
          <w:ilvl w:val="0"/>
          <w:numId w:val="4"/>
        </w:numPr>
        <w:spacing w:after="120" w:line="259" w:lineRule="auto"/>
        <w:jc w:val="both"/>
        <w:rPr>
          <w:lang w:val="pt-BR"/>
        </w:rPr>
      </w:pPr>
      <w:r w:rsidRPr="00ED6AC3">
        <w:rPr>
          <w:u w:val="single"/>
          <w:lang w:val="pt-BR" w:bidi="pt-PT"/>
        </w:rPr>
        <w:t>Relatórios nacionais de consultas às partes interessadas</w:t>
      </w:r>
      <w:r w:rsidRPr="00ED6AC3">
        <w:rPr>
          <w:lang w:val="pt-BR" w:bidi="pt-PT"/>
        </w:rPr>
        <w:t xml:space="preserve"> de rondas de relato anteriores (disponíveis apenas para países apoiados pelo Programa de Apoio à GIRH do ODS 6 e que podem ser descarregados do </w:t>
      </w:r>
      <w:hyperlink r:id="rId36">
        <w:r w:rsidRPr="00ED6AC3">
          <w:rPr>
            <w:rStyle w:val="Hyperlink"/>
            <w:lang w:val="pt-BR" w:bidi="pt-PT"/>
          </w:rPr>
          <w:t>Mapa de Resultados do Programa de Apoio</w:t>
        </w:r>
      </w:hyperlink>
      <w:r w:rsidRPr="00ED6AC3">
        <w:rPr>
          <w:rStyle w:val="Hyperlink"/>
          <w:lang w:val="pt-BR" w:bidi="pt-PT"/>
        </w:rPr>
        <w:t>)</w:t>
      </w:r>
      <w:r w:rsidRPr="00ED6AC3">
        <w:rPr>
          <w:lang w:val="pt-BR" w:bidi="pt-PT"/>
        </w:rPr>
        <w:t>;</w:t>
      </w:r>
    </w:p>
    <w:p w14:paraId="1C304E2F" w14:textId="77777777" w:rsidR="00A0315D" w:rsidRPr="00ED6AC3" w:rsidRDefault="00A0315D" w:rsidP="00A0315D">
      <w:pPr>
        <w:pStyle w:val="ListParagraph"/>
        <w:numPr>
          <w:ilvl w:val="0"/>
          <w:numId w:val="4"/>
        </w:numPr>
        <w:spacing w:after="120" w:line="259" w:lineRule="auto"/>
        <w:jc w:val="both"/>
        <w:rPr>
          <w:rFonts w:ascii="Calibri" w:eastAsia="Times New Roman" w:hAnsi="Calibri" w:cs="Calibri"/>
          <w:lang w:val="pt-BR" w:eastAsia="en-GB"/>
        </w:rPr>
      </w:pPr>
      <w:r w:rsidRPr="00ED6AC3">
        <w:rPr>
          <w:lang w:val="pt-BR" w:bidi="pt-PT"/>
        </w:rPr>
        <w:t xml:space="preserve">Quaisquer </w:t>
      </w:r>
      <w:r w:rsidRPr="00ED6AC3">
        <w:rPr>
          <w:u w:val="single"/>
          <w:lang w:val="pt-BR" w:bidi="pt-PT"/>
        </w:rPr>
        <w:t>informações adicionais</w:t>
      </w:r>
      <w:r w:rsidRPr="00ED6AC3">
        <w:rPr>
          <w:lang w:val="pt-BR" w:bidi="pt-PT"/>
        </w:rPr>
        <w:t xml:space="preserve"> relevantes para o entendimento e a avaliação do estado da gestão da água e das suas ligações a outros setores; por exemplo, a situação de outros indicadores dos ODS, dos Planos Nacionais de Adaptação (PNA) e das Contribuições Determinadas Nacionalmente (CDN).</w:t>
      </w:r>
    </w:p>
    <w:p w14:paraId="331285FB" w14:textId="04342C4E" w:rsidR="00357599" w:rsidRPr="00ED6AC3" w:rsidRDefault="00A0315D" w:rsidP="00A0315D">
      <w:pPr>
        <w:pStyle w:val="Body"/>
        <w:jc w:val="both"/>
        <w:rPr>
          <w:rStyle w:val="normaltextrun"/>
          <w:lang w:val="pt-BR"/>
        </w:rPr>
      </w:pPr>
      <w:r w:rsidRPr="00ED6AC3">
        <w:rPr>
          <w:lang w:val="pt-BR" w:bidi="pt-PT"/>
        </w:rPr>
        <w:t>O processo de consulta deve então ser concebido, incluindo a preparação de uma lista de participantes a convidar para participação no processo (considerando a diversidade em termos setoriais e de outras naturezas, conforme descrito na Secção 2). As modalidades de consulta potenciais são descritas na secção seguinte.</w:t>
      </w:r>
    </w:p>
    <w:p w14:paraId="7792DB97" w14:textId="56CAEFCA" w:rsidR="008E2EB5" w:rsidRPr="00ED6AC3" w:rsidRDefault="00A0315D" w:rsidP="00FA42CA">
      <w:pPr>
        <w:pStyle w:val="Body"/>
        <w:numPr>
          <w:ilvl w:val="1"/>
          <w:numId w:val="3"/>
        </w:numPr>
        <w:jc w:val="both"/>
        <w:rPr>
          <w:b/>
          <w:bCs/>
          <w:color w:val="20A6CA" w:themeColor="accent2"/>
          <w:sz w:val="36"/>
          <w:szCs w:val="36"/>
          <w:lang w:val="pt-BR"/>
        </w:rPr>
      </w:pPr>
      <w:r w:rsidRPr="00ED6AC3">
        <w:rPr>
          <w:b/>
          <w:bCs/>
          <w:color w:val="20A6CA" w:themeColor="accent2"/>
          <w:sz w:val="36"/>
          <w:szCs w:val="36"/>
          <w:lang w:val="pt-BR"/>
        </w:rPr>
        <w:t>Consulta</w:t>
      </w:r>
    </w:p>
    <w:p w14:paraId="2D27205D" w14:textId="7250A0B2" w:rsidR="00357599" w:rsidRPr="00ED6AC3" w:rsidRDefault="00A0315D" w:rsidP="00357599">
      <w:pPr>
        <w:pStyle w:val="Body"/>
        <w:jc w:val="both"/>
        <w:rPr>
          <w:rFonts w:cstheme="minorHAnsi"/>
          <w:lang w:val="pt-BR"/>
        </w:rPr>
      </w:pPr>
      <w:r w:rsidRPr="00ED6AC3">
        <w:rPr>
          <w:rFonts w:cstheme="minorHAnsi"/>
          <w:lang w:val="pt-BR" w:bidi="pt-PT"/>
        </w:rPr>
        <w:t xml:space="preserve">A </w:t>
      </w:r>
      <w:r w:rsidRPr="00ED6AC3">
        <w:rPr>
          <w:rFonts w:cstheme="minorHAnsi"/>
          <w:i/>
          <w:lang w:val="pt-BR" w:bidi="pt-PT"/>
        </w:rPr>
        <w:t xml:space="preserve">fase de consulta </w:t>
      </w:r>
      <w:r w:rsidRPr="00ED6AC3">
        <w:rPr>
          <w:rFonts w:cstheme="minorHAnsi"/>
          <w:lang w:val="pt-BR" w:bidi="pt-PT"/>
        </w:rPr>
        <w:t xml:space="preserve">facilita os contributos das partes interessadas intersetoriais relevantes para o inquérito nacional sobre o ODS 6.5.1. Esta secção contém orientação sobre as possibilidades de </w:t>
      </w:r>
      <w:r w:rsidRPr="00ED6AC3">
        <w:rPr>
          <w:rFonts w:cstheme="minorHAnsi"/>
          <w:i/>
          <w:lang w:val="pt-BR" w:bidi="pt-PT"/>
        </w:rPr>
        <w:t>sequenciação, formatos</w:t>
      </w:r>
      <w:r w:rsidRPr="00ED6AC3">
        <w:rPr>
          <w:rFonts w:cstheme="minorHAnsi"/>
          <w:lang w:val="pt-BR" w:bidi="pt-PT"/>
        </w:rPr>
        <w:t xml:space="preserve"> e </w:t>
      </w:r>
      <w:r w:rsidRPr="00ED6AC3">
        <w:rPr>
          <w:rFonts w:cstheme="minorHAnsi"/>
          <w:i/>
          <w:lang w:val="pt-BR" w:bidi="pt-PT"/>
        </w:rPr>
        <w:t xml:space="preserve">melhores práticas </w:t>
      </w:r>
      <w:r w:rsidRPr="00ED6AC3">
        <w:rPr>
          <w:rFonts w:cstheme="minorHAnsi"/>
          <w:lang w:val="pt-BR" w:bidi="pt-PT"/>
        </w:rPr>
        <w:t>para assegurar um processo inclusivo e participativo, dependendo do contexto do país, das preferências e da disponibilidade de recursos.</w:t>
      </w:r>
    </w:p>
    <w:p w14:paraId="51115BE9" w14:textId="2FCE6199" w:rsidR="00357599" w:rsidRPr="00ED6AC3" w:rsidRDefault="00A0315D" w:rsidP="00357599">
      <w:pPr>
        <w:pStyle w:val="Header3"/>
        <w:rPr>
          <w:u w:val="single"/>
          <w:lang w:val="pt-BR"/>
        </w:rPr>
      </w:pPr>
      <w:r w:rsidRPr="00ED6AC3">
        <w:rPr>
          <w:u w:val="single"/>
          <w:lang w:val="pt-BR" w:bidi="pt-PT"/>
        </w:rPr>
        <w:t>Sequenciação possível da consulta a partes interessadas</w:t>
      </w:r>
    </w:p>
    <w:p w14:paraId="01D429A5" w14:textId="77777777" w:rsidR="00A0315D" w:rsidRPr="00ED6AC3" w:rsidRDefault="00A0315D" w:rsidP="00A0315D">
      <w:pPr>
        <w:pStyle w:val="Body"/>
        <w:jc w:val="both"/>
        <w:rPr>
          <w:rFonts w:cstheme="minorHAnsi"/>
          <w:lang w:val="pt-BR"/>
        </w:rPr>
      </w:pPr>
      <w:r w:rsidRPr="00ED6AC3">
        <w:rPr>
          <w:rFonts w:cstheme="minorHAnsi"/>
          <w:lang w:val="pt-BR" w:bidi="pt-PT"/>
        </w:rPr>
        <w:t>A consulta pode ocorrer em uma ou mais fases, com diferentes partes interessadas consultadas em diferentes momentos. Com base nas experiências de rondas de relato anteriores (2017 e 2020), sugere-se que as consultas possam, por exemplo, ser desenvolvidas “</w:t>
      </w:r>
      <w:r w:rsidRPr="00ED6AC3">
        <w:rPr>
          <w:rFonts w:cstheme="minorHAnsi"/>
          <w:b/>
          <w:lang w:val="pt-BR" w:bidi="pt-PT"/>
        </w:rPr>
        <w:t>em série</w:t>
      </w:r>
      <w:r w:rsidRPr="00ED6AC3">
        <w:rPr>
          <w:rFonts w:cstheme="minorHAnsi"/>
          <w:lang w:val="pt-BR" w:bidi="pt-PT"/>
        </w:rPr>
        <w:t>”, “</w:t>
      </w:r>
      <w:r w:rsidRPr="00ED6AC3">
        <w:rPr>
          <w:rFonts w:cstheme="minorHAnsi"/>
          <w:b/>
          <w:lang w:val="pt-BR" w:bidi="pt-PT"/>
        </w:rPr>
        <w:t>em paralelo</w:t>
      </w:r>
      <w:r w:rsidRPr="00ED6AC3">
        <w:rPr>
          <w:rFonts w:cstheme="minorHAnsi"/>
          <w:lang w:val="pt-BR" w:bidi="pt-PT"/>
        </w:rPr>
        <w:t xml:space="preserve">” ou numa </w:t>
      </w:r>
      <w:r w:rsidRPr="00ED6AC3">
        <w:rPr>
          <w:rFonts w:cstheme="minorHAnsi"/>
          <w:b/>
          <w:lang w:val="pt-BR" w:bidi="pt-PT"/>
        </w:rPr>
        <w:t>combinação</w:t>
      </w:r>
      <w:r w:rsidRPr="00ED6AC3">
        <w:rPr>
          <w:rFonts w:cstheme="minorHAnsi"/>
          <w:lang w:val="pt-BR" w:bidi="pt-PT"/>
        </w:rPr>
        <w:t xml:space="preserve"> dessas abordagens. Estas modalidades são apresentadas abaixo. </w:t>
      </w:r>
    </w:p>
    <w:p w14:paraId="434E51D1" w14:textId="77777777" w:rsidR="00A0315D" w:rsidRPr="00ED6AC3" w:rsidRDefault="00A0315D" w:rsidP="00A0315D">
      <w:pPr>
        <w:pStyle w:val="Body"/>
        <w:jc w:val="both"/>
        <w:rPr>
          <w:rFonts w:cstheme="minorHAnsi"/>
          <w:b/>
          <w:bCs/>
          <w:lang w:val="pt-BR"/>
        </w:rPr>
      </w:pPr>
      <w:r w:rsidRPr="00ED6AC3">
        <w:rPr>
          <w:rFonts w:cstheme="minorHAnsi"/>
          <w:b/>
          <w:lang w:val="pt-BR" w:bidi="pt-PT"/>
        </w:rPr>
        <w:t xml:space="preserve">Abordagem em série: </w:t>
      </w:r>
      <w:r w:rsidRPr="00ED6AC3">
        <w:rPr>
          <w:rFonts w:cstheme="minorHAnsi"/>
          <w:lang w:val="pt-BR" w:bidi="pt-PT"/>
        </w:rPr>
        <w:t>versões consecutivas do inquérito são desenvolvidas com diferentes grupos de partes interessadas.</w:t>
      </w:r>
      <w:r w:rsidRPr="00ED6AC3">
        <w:rPr>
          <w:rFonts w:cstheme="minorHAnsi"/>
          <w:b/>
          <w:lang w:val="pt-BR" w:bidi="pt-PT"/>
        </w:rPr>
        <w:t xml:space="preserve"> </w:t>
      </w:r>
    </w:p>
    <w:p w14:paraId="2BA46177" w14:textId="2EA5A595" w:rsidR="008E2EB5" w:rsidRPr="00ED6AC3" w:rsidRDefault="00A0315D" w:rsidP="00A0315D">
      <w:pPr>
        <w:pStyle w:val="Body"/>
        <w:jc w:val="both"/>
        <w:rPr>
          <w:rFonts w:cstheme="minorHAnsi"/>
          <w:lang w:val="pt-BR"/>
        </w:rPr>
      </w:pPr>
      <w:r w:rsidRPr="00ED6AC3">
        <w:rPr>
          <w:rFonts w:cstheme="minorHAnsi"/>
          <w:i/>
          <w:lang w:val="pt-BR" w:bidi="pt-PT"/>
        </w:rPr>
        <w:t>Por exemplo, uma primeira versão pode ser desenvolvida por algumas instituições governamentais fulcrais, uma segunda discutida no âmbito de um grupo mais vasto de instituições governamentais e uma terceira validada por outras partes interessadas:</w:t>
      </w:r>
      <w:r w:rsidR="00357599" w:rsidRPr="00ED6AC3">
        <w:rPr>
          <w:rStyle w:val="normaltextrun"/>
          <w:rFonts w:cstheme="minorHAnsi"/>
          <w:i/>
          <w:iCs/>
          <w:lang w:val="pt-BR"/>
        </w:rPr>
        <w:t>:</w:t>
      </w:r>
    </w:p>
    <w:p w14:paraId="4CEE5AAF" w14:textId="623394C4" w:rsidR="00357599" w:rsidRPr="00ED6AC3" w:rsidRDefault="00342022" w:rsidP="00357599">
      <w:pPr>
        <w:pStyle w:val="Body"/>
        <w:jc w:val="both"/>
        <w:rPr>
          <w:rFonts w:cstheme="minorHAnsi"/>
          <w:lang w:val="pt-BR"/>
        </w:rPr>
      </w:pPr>
      <w:r w:rsidRPr="00ED6AC3">
        <w:rPr>
          <w:noProof/>
          <w:lang w:val="pt-BR"/>
        </w:rPr>
        <w:drawing>
          <wp:inline distT="0" distB="0" distL="0" distR="0" wp14:anchorId="6FDEFDCA" wp14:editId="6405A9AB">
            <wp:extent cx="5731510" cy="1473835"/>
            <wp:effectExtent l="19050" t="0" r="59690" b="12065"/>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7" r:lo="rId38" r:qs="rId39" r:cs="rId40"/>
              </a:graphicData>
            </a:graphic>
          </wp:inline>
        </w:drawing>
      </w:r>
    </w:p>
    <w:p w14:paraId="7863ADDB" w14:textId="0F88484D" w:rsidR="00342022" w:rsidRPr="00ED6AC3" w:rsidRDefault="00A0315D" w:rsidP="00342022">
      <w:pPr>
        <w:pStyle w:val="Body"/>
        <w:jc w:val="both"/>
        <w:rPr>
          <w:rFonts w:cstheme="minorHAnsi"/>
          <w:i/>
          <w:iCs/>
          <w:sz w:val="20"/>
          <w:lang w:val="pt-BR"/>
        </w:rPr>
      </w:pPr>
      <w:r w:rsidRPr="00ED6AC3">
        <w:rPr>
          <w:rFonts w:cstheme="minorHAnsi"/>
          <w:i/>
          <w:iCs/>
          <w:sz w:val="20"/>
          <w:lang w:val="pt-BR" w:bidi="pt-PT"/>
        </w:rPr>
        <w:lastRenderedPageBreak/>
        <w:t>Figura 2: Visualização exemplificativa de uma abordagem em série à consulta de partes interessadas</w:t>
      </w:r>
    </w:p>
    <w:p w14:paraId="6FC9EB53" w14:textId="77777777" w:rsidR="00A0315D" w:rsidRPr="00ED6AC3" w:rsidRDefault="00A0315D" w:rsidP="00A0315D">
      <w:pPr>
        <w:pStyle w:val="Body"/>
        <w:rPr>
          <w:rFonts w:cstheme="minorHAnsi"/>
          <w:b/>
          <w:bCs/>
          <w:lang w:val="pt-BR"/>
        </w:rPr>
      </w:pPr>
      <w:r w:rsidRPr="00ED6AC3">
        <w:rPr>
          <w:rFonts w:cstheme="minorHAnsi"/>
          <w:b/>
          <w:bCs/>
          <w:lang w:val="pt-BR" w:bidi="pt-PT"/>
        </w:rPr>
        <w:t>Abordagem em paralelo</w:t>
      </w:r>
      <w:r w:rsidR="00342022" w:rsidRPr="00ED6AC3">
        <w:rPr>
          <w:rStyle w:val="normaltextrun"/>
          <w:rFonts w:cstheme="minorHAnsi"/>
          <w:lang w:val="pt-BR"/>
        </w:rPr>
        <w:t xml:space="preserve">: </w:t>
      </w:r>
      <w:r w:rsidRPr="00ED6AC3">
        <w:rPr>
          <w:rFonts w:cstheme="minorHAnsi"/>
          <w:lang w:val="pt-BR" w:bidi="pt-PT"/>
        </w:rPr>
        <w:t xml:space="preserve">diferentes grupos de partes interessadas preenchem um inquérito em branco e, em seguida, as respostas são analisadas pelo Ponto Focal/facilitador, após o que se chega a acordo sobre as pontuações. </w:t>
      </w:r>
    </w:p>
    <w:p w14:paraId="6F19D31F" w14:textId="3055D25A" w:rsidR="00357599" w:rsidRPr="00ED6AC3" w:rsidRDefault="00A0315D" w:rsidP="00A0315D">
      <w:pPr>
        <w:pStyle w:val="Body"/>
        <w:jc w:val="both"/>
        <w:rPr>
          <w:rStyle w:val="normaltextrun"/>
          <w:rFonts w:cstheme="minorHAnsi"/>
          <w:lang w:val="pt-BR"/>
        </w:rPr>
      </w:pPr>
      <w:r w:rsidRPr="00ED6AC3">
        <w:rPr>
          <w:rFonts w:cstheme="minorHAnsi"/>
          <w:lang w:val="pt-BR" w:bidi="pt-PT"/>
        </w:rPr>
        <w:t xml:space="preserve">Tal pode ser efetuado por meio de um ou mais </w:t>
      </w:r>
      <w:r w:rsidRPr="00ED6AC3">
        <w:rPr>
          <w:rFonts w:cstheme="minorHAnsi"/>
          <w:i/>
          <w:lang w:val="pt-BR" w:bidi="pt-PT"/>
        </w:rPr>
        <w:t>workshops</w:t>
      </w:r>
      <w:r w:rsidRPr="00ED6AC3">
        <w:rPr>
          <w:rFonts w:cstheme="minorHAnsi"/>
          <w:lang w:val="pt-BR" w:bidi="pt-PT"/>
        </w:rPr>
        <w:t xml:space="preserve"> moderados, onde as diferentes perspetivas são levadas em consideração. Se não for possível chegar a consenso sobre uma pergunta específica, pode ser estabelecida uma consulta de seguimento com um pequeno grupo de discussão dentro de um prazo razoável para chegar a acordo sobre a pontuação a aplicar. Isso é também importante nos casos em que nem todas as partes interessadas relevantes possam comparecer no(s) </w:t>
      </w:r>
      <w:r w:rsidRPr="00ED6AC3">
        <w:rPr>
          <w:rFonts w:cstheme="minorHAnsi"/>
          <w:i/>
          <w:lang w:val="pt-BR" w:bidi="pt-PT"/>
        </w:rPr>
        <w:t>workshop(s)</w:t>
      </w:r>
      <w:r w:rsidRPr="00ED6AC3">
        <w:rPr>
          <w:rFonts w:cstheme="minorHAnsi"/>
          <w:lang w:val="pt-BR" w:bidi="pt-PT"/>
        </w:rPr>
        <w:t>.</w:t>
      </w:r>
    </w:p>
    <w:p w14:paraId="670A5662" w14:textId="2F8F7E7A" w:rsidR="00D57092" w:rsidRPr="00ED6AC3" w:rsidRDefault="00D57092" w:rsidP="00342022">
      <w:pPr>
        <w:pStyle w:val="Body"/>
        <w:jc w:val="both"/>
        <w:rPr>
          <w:rFonts w:cstheme="minorHAnsi"/>
          <w:b/>
          <w:bCs/>
          <w:lang w:val="pt-BR"/>
        </w:rPr>
      </w:pPr>
      <w:r w:rsidRPr="00ED6AC3">
        <w:rPr>
          <w:noProof/>
          <w:lang w:val="pt-BR"/>
        </w:rPr>
        <w:drawing>
          <wp:inline distT="0" distB="0" distL="0" distR="0" wp14:anchorId="2EF3CE4F" wp14:editId="13373C6A">
            <wp:extent cx="5609590" cy="1307464"/>
            <wp:effectExtent l="19050" t="0" r="48260" b="45720"/>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2" r:lo="rId43" r:qs="rId44" r:cs="rId45"/>
              </a:graphicData>
            </a:graphic>
          </wp:inline>
        </w:drawing>
      </w:r>
    </w:p>
    <w:p w14:paraId="3452D9A3" w14:textId="77777777" w:rsidR="00A0315D" w:rsidRPr="00ED6AC3" w:rsidRDefault="00A0315D" w:rsidP="00A0315D">
      <w:pPr>
        <w:pStyle w:val="Caption"/>
        <w:rPr>
          <w:color w:val="12354E" w:themeColor="accent1" w:themeShade="BF"/>
          <w:sz w:val="20"/>
          <w:szCs w:val="20"/>
          <w:lang w:val="pt-BR"/>
        </w:rPr>
      </w:pPr>
      <w:r w:rsidRPr="00ED6AC3">
        <w:rPr>
          <w:color w:val="12354E" w:themeColor="accent1" w:themeShade="BF"/>
          <w:sz w:val="20"/>
          <w:szCs w:val="20"/>
          <w:lang w:val="pt-BR" w:bidi="pt-PT"/>
        </w:rPr>
        <w:t>Figura 3: Panorâmica do possível desenvolvimento do processo usando uma abordagem em paralelo</w:t>
      </w:r>
    </w:p>
    <w:p w14:paraId="0B8AA6AC" w14:textId="1E2609CE" w:rsidR="00D57092" w:rsidRPr="00ED6AC3" w:rsidRDefault="00D57092" w:rsidP="00D57092">
      <w:pPr>
        <w:pStyle w:val="Caption"/>
        <w:spacing w:after="120"/>
        <w:rPr>
          <w:color w:val="12354E" w:themeColor="accent1" w:themeShade="BF"/>
          <w:sz w:val="20"/>
          <w:szCs w:val="20"/>
          <w:lang w:val="pt-BR"/>
        </w:rPr>
      </w:pPr>
    </w:p>
    <w:p w14:paraId="776C6C54" w14:textId="4802D570" w:rsidR="00A0315D" w:rsidRPr="00ED6AC3" w:rsidRDefault="00A0315D" w:rsidP="00A0315D">
      <w:pPr>
        <w:pStyle w:val="Body"/>
        <w:jc w:val="both"/>
        <w:rPr>
          <w:rFonts w:cstheme="minorHAnsi"/>
          <w:b/>
          <w:bCs/>
          <w:lang w:val="pt-BR"/>
        </w:rPr>
      </w:pPr>
      <w:r w:rsidRPr="00ED6AC3">
        <w:rPr>
          <w:rFonts w:cstheme="minorHAnsi"/>
          <w:b/>
          <w:bCs/>
          <w:lang w:val="pt-BR" w:bidi="pt-PT"/>
        </w:rPr>
        <w:t>Abordagem mista</w:t>
      </w:r>
      <w:r w:rsidR="00342022" w:rsidRPr="00ED6AC3">
        <w:rPr>
          <w:rStyle w:val="normaltextrun"/>
          <w:rFonts w:cstheme="minorHAnsi"/>
          <w:lang w:val="pt-BR"/>
        </w:rPr>
        <w:t xml:space="preserve">: </w:t>
      </w:r>
      <w:r w:rsidRPr="00ED6AC3">
        <w:rPr>
          <w:rFonts w:cstheme="minorHAnsi"/>
          <w:lang w:val="pt-BR" w:bidi="pt-PT"/>
        </w:rPr>
        <w:t xml:space="preserve">podem ser aplicadas diferentes combinações entre a abordagem em série e a abordagem em paralelo ou os países podem conceber processos alternativos mais adequados às suas circunstâncias nacionais. </w:t>
      </w:r>
    </w:p>
    <w:p w14:paraId="1584CFD6" w14:textId="77777777" w:rsidR="00A0315D" w:rsidRPr="00ED6AC3" w:rsidRDefault="00A0315D" w:rsidP="00A0315D">
      <w:pPr>
        <w:pStyle w:val="Body"/>
        <w:jc w:val="both"/>
        <w:rPr>
          <w:rFonts w:cstheme="minorHAnsi"/>
          <w:lang w:val="pt-BR"/>
        </w:rPr>
      </w:pPr>
      <w:r w:rsidRPr="00ED6AC3">
        <w:rPr>
          <w:rFonts w:cstheme="minorHAnsi"/>
          <w:u w:val="single"/>
          <w:lang w:val="pt-BR" w:bidi="pt-PT"/>
        </w:rPr>
        <w:t>Independentemente da abordagem, o processo de consulta de partes interessadas deve resultar numa só versão consolidada da resposta ao inquérito do 6.5.1</w:t>
      </w:r>
      <w:r w:rsidRPr="00ED6AC3">
        <w:rPr>
          <w:rFonts w:cstheme="minorHAnsi"/>
          <w:lang w:val="pt-BR" w:bidi="pt-PT"/>
        </w:rPr>
        <w:t xml:space="preserve"> a enviar ao PNUA em nome do país no prazo estabelecido.</w:t>
      </w:r>
    </w:p>
    <w:p w14:paraId="04653A5D" w14:textId="77777777" w:rsidR="00A0315D" w:rsidRPr="00ED6AC3" w:rsidRDefault="00A0315D" w:rsidP="00A0315D">
      <w:pPr>
        <w:pStyle w:val="Header3"/>
        <w:rPr>
          <w:lang w:val="pt-BR"/>
        </w:rPr>
      </w:pPr>
      <w:r w:rsidRPr="00ED6AC3">
        <w:rPr>
          <w:lang w:val="pt-BR" w:bidi="pt-PT"/>
        </w:rPr>
        <w:t xml:space="preserve">Formatos possíveis: consultas presenciais </w:t>
      </w:r>
      <w:r w:rsidRPr="00ED6AC3">
        <w:rPr>
          <w:iCs/>
          <w:lang w:val="pt-BR" w:bidi="pt-PT"/>
        </w:rPr>
        <w:t>vs. online vs. híbridas</w:t>
      </w:r>
    </w:p>
    <w:p w14:paraId="3A7CA839" w14:textId="77777777" w:rsidR="00A0315D" w:rsidRPr="00ED6AC3" w:rsidRDefault="00A0315D" w:rsidP="00267629">
      <w:pPr>
        <w:pStyle w:val="Body"/>
        <w:jc w:val="both"/>
        <w:rPr>
          <w:rFonts w:cstheme="minorHAnsi"/>
          <w:b/>
          <w:bCs/>
          <w:u w:val="single"/>
          <w:lang w:val="pt-BR"/>
        </w:rPr>
      </w:pPr>
      <w:r w:rsidRPr="00ED6AC3">
        <w:rPr>
          <w:rFonts w:cstheme="minorHAnsi"/>
          <w:lang w:val="pt-BR" w:bidi="pt-PT"/>
        </w:rPr>
        <w:t xml:space="preserve">É importante definir se a consulta deve ser presencial, em ambiente </w:t>
      </w:r>
      <w:r w:rsidRPr="00ED6AC3">
        <w:rPr>
          <w:rFonts w:cstheme="minorHAnsi"/>
          <w:i/>
          <w:lang w:val="pt-BR" w:bidi="pt-PT"/>
        </w:rPr>
        <w:t>online</w:t>
      </w:r>
      <w:r w:rsidRPr="00ED6AC3">
        <w:rPr>
          <w:rFonts w:cstheme="minorHAnsi"/>
          <w:lang w:val="pt-BR" w:bidi="pt-PT"/>
        </w:rPr>
        <w:t xml:space="preserve"> ou em formato híbrido, tendo em conta os recursos disponíveis e as limitações de tempo. </w:t>
      </w:r>
    </w:p>
    <w:p w14:paraId="5B4E7383" w14:textId="77777777" w:rsidR="00A0315D" w:rsidRPr="00ED6AC3" w:rsidRDefault="00A0315D" w:rsidP="00A0315D">
      <w:pPr>
        <w:pStyle w:val="Body"/>
        <w:rPr>
          <w:rFonts w:cstheme="minorHAnsi"/>
          <w:b/>
          <w:bCs/>
          <w:lang w:val="pt-BR"/>
        </w:rPr>
      </w:pPr>
      <w:r w:rsidRPr="00ED6AC3">
        <w:rPr>
          <w:rFonts w:cstheme="minorHAnsi"/>
          <w:b/>
          <w:lang w:val="pt-BR" w:bidi="pt-PT"/>
        </w:rPr>
        <w:t>Consulta presencial</w:t>
      </w:r>
    </w:p>
    <w:p w14:paraId="34939AA1" w14:textId="0EEF23D6" w:rsidR="00A0315D" w:rsidRPr="00ED6AC3" w:rsidRDefault="00A0315D" w:rsidP="00267629">
      <w:pPr>
        <w:pStyle w:val="Body"/>
        <w:jc w:val="both"/>
        <w:rPr>
          <w:rFonts w:cstheme="minorHAnsi"/>
          <w:lang w:val="pt-BR"/>
        </w:rPr>
      </w:pPr>
      <w:r w:rsidRPr="00ED6AC3">
        <w:rPr>
          <w:rFonts w:cstheme="minorHAnsi"/>
          <w:lang w:val="pt-BR" w:bidi="pt-PT"/>
        </w:rPr>
        <w:t xml:space="preserve">As consultas presenciais assumem habitualmente a forma de um ou vários </w:t>
      </w:r>
      <w:r w:rsidRPr="00ED6AC3">
        <w:rPr>
          <w:rFonts w:cstheme="minorHAnsi"/>
          <w:i/>
          <w:lang w:val="pt-BR" w:bidi="pt-PT"/>
        </w:rPr>
        <w:t>workshops.</w:t>
      </w:r>
      <w:r w:rsidRPr="00ED6AC3">
        <w:rPr>
          <w:rFonts w:cstheme="minorHAnsi"/>
          <w:lang w:val="pt-BR" w:bidi="pt-PT"/>
        </w:rPr>
        <w:t xml:space="preserve"> De preferência, o(s) </w:t>
      </w:r>
      <w:r w:rsidRPr="00ED6AC3">
        <w:rPr>
          <w:rFonts w:cstheme="minorHAnsi"/>
          <w:i/>
          <w:lang w:val="pt-BR" w:bidi="pt-PT"/>
        </w:rPr>
        <w:t>workshop(s)</w:t>
      </w:r>
      <w:r w:rsidRPr="00ED6AC3">
        <w:rPr>
          <w:rFonts w:cstheme="minorHAnsi"/>
          <w:lang w:val="pt-BR" w:bidi="pt-PT"/>
        </w:rPr>
        <w:t xml:space="preserve"> deve(m) ser realizado(s) num local acessível que permita a participação plena e significativa de todas as partes interessadas relevantes. Além dos </w:t>
      </w:r>
      <w:r w:rsidRPr="00ED6AC3">
        <w:rPr>
          <w:rFonts w:cstheme="minorHAnsi"/>
          <w:i/>
          <w:lang w:val="pt-BR" w:bidi="pt-PT"/>
        </w:rPr>
        <w:t xml:space="preserve">workshops </w:t>
      </w:r>
      <w:r w:rsidRPr="00ED6AC3">
        <w:rPr>
          <w:rFonts w:cstheme="minorHAnsi"/>
          <w:lang w:val="pt-BR" w:bidi="pt-PT"/>
        </w:rPr>
        <w:t xml:space="preserve">presenciais, podem ser realizadas consultas presenciais semiestruturadas. Tal pode incluir, por exemplo, entrevistas direcionadas com algumas pessoas-chave para obter um entendimento mais geral de onde se situam as oportunidades e os desafios de um país a respeito de qualquer pergunta específica do inquérito do 6.5.1. O </w:t>
      </w:r>
      <w:hyperlink r:id="rId47" w:history="1">
        <w:r w:rsidRPr="00ED6AC3">
          <w:rPr>
            <w:rStyle w:val="Hyperlink"/>
            <w:rFonts w:cstheme="minorHAnsi"/>
            <w:i/>
            <w:lang w:val="pt-BR" w:bidi="pt-PT"/>
          </w:rPr>
          <w:t>Anexo 2</w:t>
        </w:r>
      </w:hyperlink>
      <w:r w:rsidRPr="00ED6AC3">
        <w:rPr>
          <w:rFonts w:cstheme="minorHAnsi"/>
          <w:lang w:val="pt-BR" w:bidi="pt-PT"/>
        </w:rPr>
        <w:t xml:space="preserve"> inclui um exemplo de agenda de um </w:t>
      </w:r>
      <w:r w:rsidRPr="00ED6AC3">
        <w:rPr>
          <w:rFonts w:cstheme="minorHAnsi"/>
          <w:i/>
          <w:lang w:val="pt-BR" w:bidi="pt-PT"/>
        </w:rPr>
        <w:t>workshop</w:t>
      </w:r>
      <w:r w:rsidRPr="00ED6AC3">
        <w:rPr>
          <w:rFonts w:cstheme="minorHAnsi"/>
          <w:lang w:val="pt-BR" w:bidi="pt-PT"/>
        </w:rPr>
        <w:t xml:space="preserve"> que pode ser adaptado para se ajustar a ambientes </w:t>
      </w:r>
      <w:r w:rsidRPr="00ED6AC3">
        <w:rPr>
          <w:rFonts w:cstheme="minorHAnsi"/>
          <w:i/>
          <w:lang w:val="pt-BR" w:bidi="pt-PT"/>
        </w:rPr>
        <w:t>online</w:t>
      </w:r>
      <w:r w:rsidRPr="00ED6AC3">
        <w:rPr>
          <w:rFonts w:cstheme="minorHAnsi"/>
          <w:lang w:val="pt-BR" w:bidi="pt-PT"/>
        </w:rPr>
        <w:t xml:space="preserve"> ou híbridos.</w:t>
      </w:r>
    </w:p>
    <w:p w14:paraId="1D9FDD58" w14:textId="77777777" w:rsidR="00A0315D" w:rsidRPr="00ED6AC3" w:rsidRDefault="00A0315D" w:rsidP="00A0315D">
      <w:pPr>
        <w:pStyle w:val="Body"/>
        <w:rPr>
          <w:rFonts w:cstheme="minorHAnsi"/>
          <w:lang w:val="pt-BR"/>
        </w:rPr>
      </w:pPr>
      <w:r w:rsidRPr="00ED6AC3">
        <w:rPr>
          <w:rFonts w:cstheme="minorHAnsi"/>
          <w:b/>
          <w:lang w:val="pt-BR" w:bidi="pt-PT"/>
        </w:rPr>
        <w:t xml:space="preserve">Consulta </w:t>
      </w:r>
      <w:r w:rsidRPr="00ED6AC3">
        <w:rPr>
          <w:rFonts w:cstheme="minorHAnsi"/>
          <w:b/>
          <w:i/>
          <w:lang w:val="pt-BR" w:bidi="pt-PT"/>
        </w:rPr>
        <w:t>online</w:t>
      </w:r>
    </w:p>
    <w:p w14:paraId="18FB3E0E" w14:textId="77777777" w:rsidR="00A0315D" w:rsidRPr="00ED6AC3" w:rsidRDefault="00A0315D" w:rsidP="00267629">
      <w:pPr>
        <w:pStyle w:val="Body"/>
        <w:jc w:val="both"/>
        <w:rPr>
          <w:rFonts w:cstheme="minorHAnsi"/>
          <w:lang w:val="pt-BR"/>
        </w:rPr>
      </w:pPr>
      <w:r w:rsidRPr="00ED6AC3">
        <w:rPr>
          <w:rFonts w:cstheme="minorHAnsi"/>
          <w:lang w:val="pt-BR" w:bidi="pt-PT"/>
        </w:rPr>
        <w:lastRenderedPageBreak/>
        <w:t xml:space="preserve">As consultas </w:t>
      </w:r>
      <w:r w:rsidRPr="00ED6AC3">
        <w:rPr>
          <w:rFonts w:cstheme="minorHAnsi"/>
          <w:i/>
          <w:lang w:val="pt-BR" w:bidi="pt-PT"/>
        </w:rPr>
        <w:t xml:space="preserve">online </w:t>
      </w:r>
      <w:r w:rsidRPr="00ED6AC3">
        <w:rPr>
          <w:rFonts w:cstheme="minorHAnsi"/>
          <w:lang w:val="pt-BR" w:bidi="pt-PT"/>
        </w:rPr>
        <w:t xml:space="preserve">podem ser proveitosas para aumentar o número de partes interessadas que contribuem para o processo. Porém, os facilitadores devem estar cientes de que as reuniões virtuais poderão dificultar a participação de certos grupos de partes interessadas, pelo que é importante reconhecer esses desafios. De preferência, os </w:t>
      </w:r>
      <w:r w:rsidRPr="00ED6AC3">
        <w:rPr>
          <w:rFonts w:cstheme="minorHAnsi"/>
          <w:i/>
          <w:lang w:val="pt-BR" w:bidi="pt-PT"/>
        </w:rPr>
        <w:t xml:space="preserve">workshops online </w:t>
      </w:r>
      <w:r w:rsidRPr="00ED6AC3">
        <w:rPr>
          <w:rFonts w:cstheme="minorHAnsi"/>
          <w:lang w:val="pt-BR" w:bidi="pt-PT"/>
        </w:rPr>
        <w:t xml:space="preserve">não devem durar mais de 3 a 4 horas por dia, para assegurar que os participantes se mantenham plenamente focados. </w:t>
      </w:r>
    </w:p>
    <w:p w14:paraId="798864B1" w14:textId="77777777" w:rsidR="00A0315D" w:rsidRPr="00ED6AC3" w:rsidRDefault="00A0315D" w:rsidP="00267629">
      <w:pPr>
        <w:pStyle w:val="Body"/>
        <w:jc w:val="both"/>
        <w:rPr>
          <w:rFonts w:cstheme="minorHAnsi"/>
          <w:lang w:val="pt-BR"/>
        </w:rPr>
      </w:pPr>
      <w:r w:rsidRPr="00ED6AC3">
        <w:rPr>
          <w:rFonts w:cstheme="minorHAnsi"/>
          <w:lang w:val="pt-BR" w:bidi="pt-PT"/>
        </w:rPr>
        <w:t xml:space="preserve">É apresentado abaixo um leque de sugestões para processos de consulta </w:t>
      </w:r>
      <w:r w:rsidRPr="00ED6AC3">
        <w:rPr>
          <w:rFonts w:cstheme="minorHAnsi"/>
          <w:i/>
          <w:lang w:val="pt-BR" w:bidi="pt-PT"/>
        </w:rPr>
        <w:t xml:space="preserve">online, </w:t>
      </w:r>
      <w:r w:rsidRPr="00ED6AC3">
        <w:rPr>
          <w:rFonts w:cstheme="minorHAnsi"/>
          <w:lang w:val="pt-BR" w:bidi="pt-PT"/>
        </w:rPr>
        <w:t xml:space="preserve">as quais podem ser combinadas conforme necessário para fazer uso de um processo mais eficiente de consulta </w:t>
      </w:r>
      <w:r w:rsidRPr="00ED6AC3">
        <w:rPr>
          <w:rFonts w:cstheme="minorHAnsi"/>
          <w:i/>
          <w:lang w:val="pt-BR" w:bidi="pt-PT"/>
        </w:rPr>
        <w:t xml:space="preserve">online </w:t>
      </w:r>
      <w:r w:rsidRPr="00ED6AC3">
        <w:rPr>
          <w:rFonts w:cstheme="minorHAnsi"/>
          <w:lang w:val="pt-BR" w:bidi="pt-PT"/>
        </w:rPr>
        <w:t>de partes interessadas:</w:t>
      </w:r>
    </w:p>
    <w:p w14:paraId="008BD0B1" w14:textId="77777777" w:rsidR="00A0315D" w:rsidRPr="00ED6AC3" w:rsidRDefault="00A0315D" w:rsidP="00037028">
      <w:pPr>
        <w:pStyle w:val="Body"/>
        <w:numPr>
          <w:ilvl w:val="0"/>
          <w:numId w:val="31"/>
        </w:numPr>
        <w:spacing w:after="120"/>
        <w:ind w:left="714" w:hanging="357"/>
        <w:jc w:val="both"/>
        <w:rPr>
          <w:rFonts w:cstheme="minorHAnsi"/>
          <w:lang w:val="pt-BR"/>
        </w:rPr>
      </w:pPr>
      <w:r w:rsidRPr="00ED6AC3">
        <w:rPr>
          <w:rFonts w:cstheme="minorHAnsi"/>
          <w:b/>
          <w:i/>
          <w:lang w:val="pt-BR" w:bidi="pt-PT"/>
        </w:rPr>
        <w:t>Workshop(s)</w:t>
      </w:r>
      <w:r w:rsidRPr="00ED6AC3">
        <w:rPr>
          <w:rFonts w:cstheme="minorHAnsi"/>
          <w:b/>
          <w:lang w:val="pt-BR" w:bidi="pt-PT"/>
        </w:rPr>
        <w:t xml:space="preserve"> de orientação:</w:t>
      </w:r>
      <w:r w:rsidRPr="00ED6AC3">
        <w:rPr>
          <w:rFonts w:cstheme="minorHAnsi"/>
          <w:lang w:val="pt-BR" w:bidi="pt-PT"/>
        </w:rPr>
        <w:t xml:space="preserve"> pode ser realizado um webinário informativo </w:t>
      </w:r>
      <w:r w:rsidRPr="00ED6AC3">
        <w:rPr>
          <w:rFonts w:cstheme="minorHAnsi"/>
          <w:i/>
          <w:lang w:val="pt-BR" w:bidi="pt-PT"/>
        </w:rPr>
        <w:t xml:space="preserve">online </w:t>
      </w:r>
      <w:r w:rsidRPr="00ED6AC3">
        <w:rPr>
          <w:rFonts w:cstheme="minorHAnsi"/>
          <w:lang w:val="pt-BR" w:bidi="pt-PT"/>
        </w:rPr>
        <w:t>para partilhar os objetivos do processo de relato e a pontuação anterior do país no ODS 6.5.1, bem como para descrever o processo a seguir.</w:t>
      </w:r>
    </w:p>
    <w:p w14:paraId="0ED1C97B" w14:textId="77777777" w:rsidR="00A0315D" w:rsidRPr="00ED6AC3" w:rsidRDefault="00A0315D" w:rsidP="00037028">
      <w:pPr>
        <w:pStyle w:val="Body"/>
        <w:numPr>
          <w:ilvl w:val="0"/>
          <w:numId w:val="31"/>
        </w:numPr>
        <w:spacing w:after="120"/>
        <w:ind w:left="714" w:hanging="357"/>
        <w:jc w:val="both"/>
        <w:rPr>
          <w:rFonts w:cstheme="minorHAnsi"/>
          <w:lang w:val="pt-BR"/>
        </w:rPr>
      </w:pPr>
      <w:r w:rsidRPr="00ED6AC3">
        <w:rPr>
          <w:rFonts w:cstheme="minorHAnsi"/>
          <w:b/>
          <w:lang w:val="pt-BR" w:bidi="pt-PT"/>
        </w:rPr>
        <w:t xml:space="preserve">Contributos por correio eletrónico: </w:t>
      </w:r>
      <w:r w:rsidRPr="00ED6AC3">
        <w:rPr>
          <w:rFonts w:cstheme="minorHAnsi"/>
          <w:lang w:val="pt-BR" w:bidi="pt-PT"/>
        </w:rPr>
        <w:t xml:space="preserve">tal pode implicar que se peça a várias partes interessadas que respondam a todo o inquérito ou a determinadas secções ou perguntas, dependendo da relevância. </w:t>
      </w:r>
    </w:p>
    <w:p w14:paraId="212B297C" w14:textId="77777777" w:rsidR="00A0315D" w:rsidRPr="00ED6AC3" w:rsidRDefault="00A0315D" w:rsidP="00037028">
      <w:pPr>
        <w:pStyle w:val="Body"/>
        <w:numPr>
          <w:ilvl w:val="0"/>
          <w:numId w:val="31"/>
        </w:numPr>
        <w:spacing w:after="120"/>
        <w:ind w:left="714" w:hanging="357"/>
        <w:jc w:val="both"/>
        <w:rPr>
          <w:rFonts w:cstheme="minorHAnsi"/>
          <w:lang w:val="pt-BR"/>
        </w:rPr>
      </w:pPr>
      <w:r w:rsidRPr="00ED6AC3">
        <w:rPr>
          <w:rFonts w:cstheme="minorHAnsi"/>
          <w:b/>
          <w:lang w:val="pt-BR" w:bidi="pt-PT"/>
        </w:rPr>
        <w:t>Grupos de discussão:</w:t>
      </w:r>
      <w:r w:rsidRPr="00ED6AC3">
        <w:rPr>
          <w:rFonts w:cstheme="minorHAnsi"/>
          <w:b/>
          <w:vertAlign w:val="superscript"/>
          <w:lang w:val="pt-BR" w:bidi="pt-PT"/>
        </w:rPr>
        <w:footnoteReference w:id="2"/>
      </w:r>
      <w:r w:rsidRPr="00ED6AC3">
        <w:rPr>
          <w:rFonts w:cstheme="minorHAnsi"/>
          <w:lang w:val="pt-BR" w:bidi="pt-PT"/>
        </w:rPr>
        <w:t xml:space="preserve"> podem ser organizados </w:t>
      </w:r>
      <w:r w:rsidRPr="00ED6AC3">
        <w:rPr>
          <w:rFonts w:cstheme="minorHAnsi"/>
          <w:i/>
          <w:lang w:val="pt-BR" w:bidi="pt-PT"/>
        </w:rPr>
        <w:t xml:space="preserve">workshops online </w:t>
      </w:r>
      <w:r w:rsidRPr="00ED6AC3">
        <w:rPr>
          <w:rFonts w:cstheme="minorHAnsi"/>
          <w:lang w:val="pt-BR" w:bidi="pt-PT"/>
        </w:rPr>
        <w:t>mais pequenos com grupos de partes interessadas para discutir perguntas individuais ou grupos de perguntas do inquérito.</w:t>
      </w:r>
    </w:p>
    <w:p w14:paraId="0FE34910" w14:textId="77777777" w:rsidR="00A0315D" w:rsidRPr="00ED6AC3" w:rsidRDefault="00A0315D" w:rsidP="00037028">
      <w:pPr>
        <w:pStyle w:val="Body"/>
        <w:numPr>
          <w:ilvl w:val="0"/>
          <w:numId w:val="31"/>
        </w:numPr>
        <w:spacing w:after="120"/>
        <w:ind w:left="714" w:hanging="357"/>
        <w:jc w:val="both"/>
        <w:rPr>
          <w:rFonts w:cstheme="minorHAnsi"/>
          <w:lang w:val="pt-BR"/>
        </w:rPr>
      </w:pPr>
      <w:r w:rsidRPr="00ED6AC3">
        <w:rPr>
          <w:rFonts w:cstheme="minorHAnsi"/>
          <w:b/>
          <w:lang w:val="pt-BR" w:bidi="pt-PT"/>
        </w:rPr>
        <w:t>Fóruns de discussão:</w:t>
      </w:r>
      <w:r w:rsidRPr="00ED6AC3">
        <w:rPr>
          <w:rFonts w:cstheme="minorHAnsi"/>
          <w:lang w:val="pt-BR" w:bidi="pt-PT"/>
        </w:rPr>
        <w:t xml:space="preserve"> podem ser submetidas perguntas-chave a consulta por um grupo de partes interessadas maior, mas ainda selecionado, possivelmente por meio de um processo de pré-registo. Tal permitirá aprofundar muito mais aspetos essenciais que podem promover um entendimento partilhado entre um número maior de participantes.</w:t>
      </w:r>
    </w:p>
    <w:p w14:paraId="1D769FD4" w14:textId="2FA6003F" w:rsidR="00A0315D" w:rsidRPr="00ED6AC3" w:rsidRDefault="00A0315D" w:rsidP="00037028">
      <w:pPr>
        <w:pStyle w:val="Body"/>
        <w:numPr>
          <w:ilvl w:val="0"/>
          <w:numId w:val="31"/>
        </w:numPr>
        <w:spacing w:after="120"/>
        <w:ind w:left="714" w:hanging="357"/>
        <w:jc w:val="both"/>
        <w:rPr>
          <w:rFonts w:cstheme="minorHAnsi"/>
          <w:lang w:val="pt-BR"/>
        </w:rPr>
      </w:pPr>
      <w:r w:rsidRPr="00ED6AC3">
        <w:rPr>
          <w:rFonts w:cstheme="minorHAnsi"/>
          <w:b/>
          <w:lang w:val="pt-BR" w:bidi="pt-PT"/>
        </w:rPr>
        <w:t xml:space="preserve">Inquéritos </w:t>
      </w:r>
      <w:r w:rsidRPr="00ED6AC3">
        <w:rPr>
          <w:rFonts w:cstheme="minorHAnsi"/>
          <w:b/>
          <w:i/>
          <w:lang w:val="pt-BR" w:bidi="pt-PT"/>
        </w:rPr>
        <w:t>online:</w:t>
      </w:r>
      <w:r w:rsidRPr="00ED6AC3">
        <w:rPr>
          <w:rFonts w:cstheme="minorHAnsi"/>
          <w:lang w:val="pt-BR" w:bidi="pt-PT"/>
        </w:rPr>
        <w:t xml:space="preserve"> como possível complemento para análises mais profundas, é viável a retroinformação quantitativa e qualitativa de um grupo maior por meio de plataformas de inquéritos </w:t>
      </w:r>
      <w:r w:rsidRPr="00ED6AC3">
        <w:rPr>
          <w:rFonts w:cstheme="minorHAnsi"/>
          <w:i/>
          <w:lang w:val="pt-BR" w:bidi="pt-PT"/>
        </w:rPr>
        <w:t>online,</w:t>
      </w:r>
      <w:r w:rsidRPr="00ED6AC3">
        <w:rPr>
          <w:rFonts w:cstheme="minorHAnsi"/>
          <w:lang w:val="pt-BR" w:bidi="pt-PT"/>
        </w:rPr>
        <w:t xml:space="preserve"> como a ferramenta do Inquérito sobre a GIRH (ver o </w:t>
      </w:r>
      <w:hyperlink r:id="rId48" w:history="1">
        <w:r w:rsidRPr="00ED6AC3">
          <w:rPr>
            <w:rStyle w:val="Hyperlink"/>
            <w:rFonts w:cstheme="minorHAnsi"/>
            <w:i/>
            <w:lang w:val="pt-BR" w:bidi="pt-PT"/>
          </w:rPr>
          <w:t>Anexo 1</w:t>
        </w:r>
      </w:hyperlink>
      <w:r w:rsidRPr="00ED6AC3">
        <w:rPr>
          <w:rFonts w:cstheme="minorHAnsi"/>
          <w:lang w:val="pt-BR" w:bidi="pt-PT"/>
        </w:rPr>
        <w:t>).</w:t>
      </w:r>
    </w:p>
    <w:p w14:paraId="6ADE3BE7" w14:textId="77777777" w:rsidR="00A0315D" w:rsidRPr="00ED6AC3" w:rsidRDefault="00A0315D" w:rsidP="00037028">
      <w:pPr>
        <w:pStyle w:val="Body"/>
        <w:numPr>
          <w:ilvl w:val="0"/>
          <w:numId w:val="31"/>
        </w:numPr>
        <w:spacing w:after="120"/>
        <w:ind w:left="714" w:hanging="357"/>
        <w:jc w:val="both"/>
        <w:rPr>
          <w:rFonts w:cstheme="minorHAnsi"/>
          <w:lang w:val="pt-BR"/>
        </w:rPr>
      </w:pPr>
      <w:r w:rsidRPr="00ED6AC3">
        <w:rPr>
          <w:rFonts w:cstheme="minorHAnsi"/>
          <w:b/>
          <w:i/>
          <w:lang w:val="pt-BR" w:bidi="pt-PT"/>
        </w:rPr>
        <w:t>Workshops online</w:t>
      </w:r>
      <w:r w:rsidRPr="00ED6AC3">
        <w:rPr>
          <w:rFonts w:cstheme="minorHAnsi"/>
          <w:b/>
          <w:lang w:val="pt-BR" w:bidi="pt-PT"/>
        </w:rPr>
        <w:t xml:space="preserve"> (finais):</w:t>
      </w:r>
      <w:r w:rsidRPr="00ED6AC3">
        <w:rPr>
          <w:rFonts w:cstheme="minorHAnsi"/>
          <w:lang w:val="pt-BR" w:bidi="pt-PT"/>
        </w:rPr>
        <w:t xml:space="preserve"> o formato </w:t>
      </w:r>
      <w:r w:rsidRPr="00ED6AC3">
        <w:rPr>
          <w:rFonts w:cstheme="minorHAnsi"/>
          <w:i/>
          <w:lang w:val="pt-BR" w:bidi="pt-PT"/>
        </w:rPr>
        <w:t xml:space="preserve">online </w:t>
      </w:r>
      <w:r w:rsidRPr="00ED6AC3">
        <w:rPr>
          <w:rFonts w:cstheme="minorHAnsi"/>
          <w:lang w:val="pt-BR" w:bidi="pt-PT"/>
        </w:rPr>
        <w:t xml:space="preserve">permite um maior número de participantes e uma participação mais vasta. </w:t>
      </w:r>
    </w:p>
    <w:p w14:paraId="6AACF1BB" w14:textId="77777777" w:rsidR="00A0315D" w:rsidRPr="00ED6AC3" w:rsidRDefault="00A0315D" w:rsidP="00267629">
      <w:pPr>
        <w:pStyle w:val="Body"/>
        <w:jc w:val="both"/>
        <w:rPr>
          <w:rFonts w:cstheme="minorHAnsi"/>
          <w:lang w:val="pt-BR"/>
        </w:rPr>
      </w:pPr>
      <w:r w:rsidRPr="00ED6AC3">
        <w:rPr>
          <w:rFonts w:cstheme="minorHAnsi"/>
          <w:lang w:val="pt-BR" w:bidi="pt-PT"/>
        </w:rPr>
        <w:t xml:space="preserve">Pode ser viável realizar </w:t>
      </w:r>
      <w:r w:rsidRPr="00ED6AC3">
        <w:rPr>
          <w:rFonts w:cstheme="minorHAnsi"/>
          <w:i/>
          <w:lang w:val="pt-BR" w:bidi="pt-PT"/>
        </w:rPr>
        <w:t>workshops online</w:t>
      </w:r>
      <w:r w:rsidRPr="00ED6AC3">
        <w:rPr>
          <w:rFonts w:cstheme="minorHAnsi"/>
          <w:lang w:val="pt-BR" w:bidi="pt-PT"/>
        </w:rPr>
        <w:t xml:space="preserve"> de forma semelhante aos </w:t>
      </w:r>
      <w:r w:rsidRPr="00ED6AC3">
        <w:rPr>
          <w:rFonts w:cstheme="minorHAnsi"/>
          <w:i/>
          <w:lang w:val="pt-BR" w:bidi="pt-PT"/>
        </w:rPr>
        <w:t>workshops</w:t>
      </w:r>
      <w:r w:rsidRPr="00ED6AC3">
        <w:rPr>
          <w:rFonts w:cstheme="minorHAnsi"/>
          <w:lang w:val="pt-BR" w:bidi="pt-PT"/>
        </w:rPr>
        <w:t xml:space="preserve"> presenciais para até um determinado número de participantes (por exemplo, 20 a 30). Para um número de participantes maior, é aconselhável planear subgrupos e nomear moderadores adicionais para assegurar uma participação eficiente em cada subgrupo. De preferência, tais </w:t>
      </w:r>
      <w:r w:rsidRPr="00ED6AC3">
        <w:rPr>
          <w:rFonts w:cstheme="minorHAnsi"/>
          <w:i/>
          <w:lang w:val="pt-BR" w:bidi="pt-PT"/>
        </w:rPr>
        <w:t xml:space="preserve">workshops </w:t>
      </w:r>
      <w:r w:rsidRPr="00ED6AC3">
        <w:rPr>
          <w:rFonts w:cstheme="minorHAnsi"/>
          <w:lang w:val="pt-BR" w:bidi="pt-PT"/>
        </w:rPr>
        <w:t xml:space="preserve">deverão basear-se em contributos facultados por meio de vários mecanismos enumerados acima. Os </w:t>
      </w:r>
      <w:r w:rsidRPr="00ED6AC3">
        <w:rPr>
          <w:rFonts w:cstheme="minorHAnsi"/>
          <w:i/>
          <w:lang w:val="pt-BR" w:bidi="pt-PT"/>
        </w:rPr>
        <w:t xml:space="preserve">workshops </w:t>
      </w:r>
      <w:r w:rsidRPr="00ED6AC3">
        <w:rPr>
          <w:rFonts w:cstheme="minorHAnsi"/>
          <w:lang w:val="pt-BR" w:bidi="pt-PT"/>
        </w:rPr>
        <w:t xml:space="preserve">devem ter como objetivo chegar a um consenso ou acordo sobre as pontuações e a respostas de texto livre para cada uma das perguntas. Os </w:t>
      </w:r>
      <w:r w:rsidRPr="00ED6AC3">
        <w:rPr>
          <w:rFonts w:cstheme="minorHAnsi"/>
          <w:i/>
          <w:lang w:val="pt-BR" w:bidi="pt-PT"/>
        </w:rPr>
        <w:t>workshops</w:t>
      </w:r>
      <w:r w:rsidRPr="00ED6AC3">
        <w:rPr>
          <w:rFonts w:cstheme="minorHAnsi"/>
          <w:lang w:val="pt-BR" w:bidi="pt-PT"/>
        </w:rPr>
        <w:t xml:space="preserve"> podem ser divididos em dias consecutivos; por exemplo, centrando-se em uma ou duas secções do inquérito de cada vez. </w:t>
      </w:r>
    </w:p>
    <w:p w14:paraId="07C28F3E" w14:textId="77777777" w:rsidR="00A0315D" w:rsidRPr="00ED6AC3" w:rsidRDefault="00A0315D" w:rsidP="00267629">
      <w:pPr>
        <w:pStyle w:val="Body"/>
        <w:jc w:val="both"/>
        <w:rPr>
          <w:rFonts w:cstheme="minorHAnsi"/>
          <w:lang w:val="pt-BR"/>
        </w:rPr>
      </w:pPr>
      <w:r w:rsidRPr="00ED6AC3">
        <w:rPr>
          <w:rFonts w:cstheme="minorHAnsi"/>
          <w:lang w:val="pt-BR" w:bidi="pt-PT"/>
        </w:rPr>
        <w:lastRenderedPageBreak/>
        <w:t xml:space="preserve">É facultada abaixo uma breve lista de plataformas e ferramentas de comunicação possíveis. É provável que os departamentos e indivíduos do governo tenham as suas plataformas preferidas e não há necessidade de adotar plataformas novas se já estiverem em vigor sistemas eficazes ou conhecidos. Para consultas de maior dimensão, poderá ser benéfico o envolvimento de facilitadores especializados no uso de tais ferramentas. Exemplos de ferramentas </w:t>
      </w:r>
      <w:r w:rsidRPr="00ED6AC3">
        <w:rPr>
          <w:rFonts w:cstheme="minorHAnsi"/>
          <w:i/>
          <w:lang w:val="pt-BR" w:bidi="pt-PT"/>
        </w:rPr>
        <w:t>online:</w:t>
      </w:r>
      <w:r w:rsidRPr="00ED6AC3">
        <w:rPr>
          <w:rFonts w:cstheme="minorHAnsi"/>
          <w:lang w:val="pt-BR" w:bidi="pt-PT"/>
        </w:rPr>
        <w:t xml:space="preserve"> </w:t>
      </w:r>
    </w:p>
    <w:p w14:paraId="4DFDFE1C" w14:textId="77777777" w:rsidR="00A0315D" w:rsidRPr="00ED6AC3" w:rsidRDefault="00A0315D" w:rsidP="00037028">
      <w:pPr>
        <w:pStyle w:val="Body"/>
        <w:numPr>
          <w:ilvl w:val="0"/>
          <w:numId w:val="6"/>
        </w:numPr>
        <w:spacing w:after="120"/>
        <w:ind w:left="714" w:hanging="357"/>
        <w:jc w:val="both"/>
        <w:rPr>
          <w:rFonts w:cstheme="minorHAnsi"/>
          <w:lang w:val="pt-BR"/>
        </w:rPr>
      </w:pPr>
      <w:r w:rsidRPr="00ED6AC3">
        <w:rPr>
          <w:rFonts w:cstheme="minorHAnsi"/>
          <w:lang w:val="pt-BR" w:bidi="pt-PT"/>
        </w:rPr>
        <w:t xml:space="preserve">Duas pessoas ou grupos pequenos – por exemplo, telefone, MS Teams, Skype, WhatsApp, Zoom, Facetime, Duo, etc. </w:t>
      </w:r>
    </w:p>
    <w:p w14:paraId="240A680B" w14:textId="77777777" w:rsidR="00A0315D" w:rsidRPr="00ED6AC3" w:rsidRDefault="00A0315D" w:rsidP="00037028">
      <w:pPr>
        <w:pStyle w:val="Body"/>
        <w:numPr>
          <w:ilvl w:val="0"/>
          <w:numId w:val="6"/>
        </w:numPr>
        <w:spacing w:after="120"/>
        <w:ind w:left="714" w:hanging="357"/>
        <w:jc w:val="both"/>
        <w:rPr>
          <w:rFonts w:cstheme="minorHAnsi"/>
          <w:lang w:val="pt-BR"/>
        </w:rPr>
      </w:pPr>
      <w:r w:rsidRPr="00ED6AC3">
        <w:rPr>
          <w:rFonts w:cstheme="minorHAnsi"/>
          <w:lang w:val="pt-BR" w:bidi="pt-PT"/>
        </w:rPr>
        <w:t>Reuniões/</w:t>
      </w:r>
      <w:r w:rsidRPr="00ED6AC3">
        <w:rPr>
          <w:rFonts w:cstheme="minorHAnsi"/>
          <w:i/>
          <w:lang w:val="pt-BR" w:bidi="pt-PT"/>
        </w:rPr>
        <w:t xml:space="preserve">workshops online </w:t>
      </w:r>
      <w:r w:rsidRPr="00ED6AC3">
        <w:rPr>
          <w:rFonts w:cstheme="minorHAnsi"/>
          <w:lang w:val="pt-BR" w:bidi="pt-PT"/>
        </w:rPr>
        <w:t xml:space="preserve">(com ou sem vídeo) – por exemplo, Zoom, MS Teams, WebEx, GoToMeeting, Skype for Business, Google Meet ou BlueJeans. </w:t>
      </w:r>
    </w:p>
    <w:p w14:paraId="3E4628BE" w14:textId="77777777" w:rsidR="00A0315D" w:rsidRPr="00ED6AC3" w:rsidRDefault="00A0315D" w:rsidP="00037028">
      <w:pPr>
        <w:pStyle w:val="Body"/>
        <w:numPr>
          <w:ilvl w:val="0"/>
          <w:numId w:val="6"/>
        </w:numPr>
        <w:spacing w:after="120"/>
        <w:ind w:left="714" w:hanging="357"/>
        <w:jc w:val="both"/>
        <w:rPr>
          <w:rFonts w:cstheme="minorHAnsi"/>
          <w:b/>
          <w:bCs/>
          <w:lang w:val="pt-BR"/>
        </w:rPr>
      </w:pPr>
      <w:r w:rsidRPr="00ED6AC3">
        <w:rPr>
          <w:rFonts w:cstheme="minorHAnsi"/>
          <w:lang w:val="pt-BR" w:bidi="pt-PT"/>
        </w:rPr>
        <w:t xml:space="preserve">Fóruns de discussão – por exemplo, Facebook ou LinkedIn. </w:t>
      </w:r>
    </w:p>
    <w:p w14:paraId="5C21FF70" w14:textId="77777777" w:rsidR="00037028" w:rsidRPr="00ED6AC3" w:rsidRDefault="00037028" w:rsidP="00267629">
      <w:pPr>
        <w:pStyle w:val="Body"/>
        <w:jc w:val="both"/>
        <w:rPr>
          <w:rFonts w:cstheme="minorHAnsi"/>
          <w:b/>
          <w:lang w:val="pt-BR" w:bidi="pt-PT"/>
        </w:rPr>
      </w:pPr>
    </w:p>
    <w:p w14:paraId="20904946" w14:textId="3113B560" w:rsidR="00A0315D" w:rsidRPr="00ED6AC3" w:rsidRDefault="00A0315D" w:rsidP="00267629">
      <w:pPr>
        <w:pStyle w:val="Body"/>
        <w:jc w:val="both"/>
        <w:rPr>
          <w:rFonts w:cstheme="minorHAnsi"/>
          <w:b/>
          <w:bCs/>
          <w:lang w:val="pt-BR"/>
        </w:rPr>
      </w:pPr>
      <w:r w:rsidRPr="00ED6AC3">
        <w:rPr>
          <w:rFonts w:cstheme="minorHAnsi"/>
          <w:b/>
          <w:lang w:val="pt-BR" w:bidi="pt-PT"/>
        </w:rPr>
        <w:t>Consulta híbrida</w:t>
      </w:r>
    </w:p>
    <w:p w14:paraId="5A57CEA1" w14:textId="77777777" w:rsidR="00A0315D" w:rsidRPr="00ED6AC3" w:rsidRDefault="00A0315D" w:rsidP="00267629">
      <w:pPr>
        <w:pStyle w:val="Body"/>
        <w:jc w:val="both"/>
        <w:rPr>
          <w:rFonts w:cstheme="minorHAnsi"/>
          <w:lang w:val="pt-BR"/>
        </w:rPr>
      </w:pPr>
      <w:r w:rsidRPr="00ED6AC3">
        <w:rPr>
          <w:rFonts w:cstheme="minorHAnsi"/>
          <w:lang w:val="pt-BR" w:bidi="pt-PT"/>
        </w:rPr>
        <w:t xml:space="preserve">É possível qualquer combinação entre os formatos </w:t>
      </w:r>
      <w:r w:rsidRPr="00ED6AC3">
        <w:rPr>
          <w:rFonts w:cstheme="minorHAnsi"/>
          <w:i/>
          <w:lang w:val="pt-BR" w:bidi="pt-PT"/>
        </w:rPr>
        <w:t>online</w:t>
      </w:r>
      <w:r w:rsidRPr="00ED6AC3">
        <w:rPr>
          <w:rFonts w:cstheme="minorHAnsi"/>
          <w:lang w:val="pt-BR" w:bidi="pt-PT"/>
        </w:rPr>
        <w:t xml:space="preserve"> e presencial. Por exemplo, podem ser realizados uma consulta e/ou um inquérito </w:t>
      </w:r>
      <w:r w:rsidRPr="00ED6AC3">
        <w:rPr>
          <w:rFonts w:cstheme="minorHAnsi"/>
          <w:i/>
          <w:lang w:val="pt-BR" w:bidi="pt-PT"/>
        </w:rPr>
        <w:t xml:space="preserve">online </w:t>
      </w:r>
      <w:r w:rsidRPr="00ED6AC3">
        <w:rPr>
          <w:rFonts w:cstheme="minorHAnsi"/>
          <w:lang w:val="pt-BR" w:bidi="pt-PT"/>
        </w:rPr>
        <w:t xml:space="preserve">antes de um </w:t>
      </w:r>
      <w:r w:rsidRPr="00ED6AC3">
        <w:rPr>
          <w:rFonts w:cstheme="minorHAnsi"/>
          <w:i/>
          <w:lang w:val="pt-BR" w:bidi="pt-PT"/>
        </w:rPr>
        <w:t xml:space="preserve">workshop </w:t>
      </w:r>
      <w:r w:rsidRPr="00ED6AC3">
        <w:rPr>
          <w:rFonts w:cstheme="minorHAnsi"/>
          <w:lang w:val="pt-BR" w:bidi="pt-PT"/>
        </w:rPr>
        <w:t xml:space="preserve">presencial ou pode ser organizado um evento verdadeiramente híbrido, com participantes presenciais e </w:t>
      </w:r>
      <w:r w:rsidRPr="00ED6AC3">
        <w:rPr>
          <w:rFonts w:cstheme="minorHAnsi"/>
          <w:i/>
          <w:lang w:val="pt-BR" w:bidi="pt-PT"/>
        </w:rPr>
        <w:t xml:space="preserve">online </w:t>
      </w:r>
      <w:r w:rsidRPr="00ED6AC3">
        <w:rPr>
          <w:rFonts w:cstheme="minorHAnsi"/>
          <w:lang w:val="pt-BR" w:bidi="pt-PT"/>
        </w:rPr>
        <w:t xml:space="preserve">a discutirem a pontuação das perguntas. Neste último caso, devem ser tidos cuidados especiais para assegurar que os participantes </w:t>
      </w:r>
      <w:r w:rsidRPr="00ED6AC3">
        <w:rPr>
          <w:rFonts w:cstheme="minorHAnsi"/>
          <w:i/>
          <w:lang w:val="pt-BR" w:bidi="pt-PT"/>
        </w:rPr>
        <w:t xml:space="preserve">online </w:t>
      </w:r>
      <w:r w:rsidRPr="00ED6AC3">
        <w:rPr>
          <w:rFonts w:cstheme="minorHAnsi"/>
          <w:lang w:val="pt-BR" w:bidi="pt-PT"/>
        </w:rPr>
        <w:t xml:space="preserve">possam dar um contributo relevante. </w:t>
      </w:r>
    </w:p>
    <w:p w14:paraId="6CDB27F2" w14:textId="77777777" w:rsidR="00A0315D" w:rsidRPr="00ED6AC3" w:rsidRDefault="00A0315D" w:rsidP="00267629">
      <w:pPr>
        <w:pStyle w:val="Header3"/>
        <w:rPr>
          <w:lang w:val="pt-BR"/>
        </w:rPr>
      </w:pPr>
      <w:r w:rsidRPr="00ED6AC3">
        <w:rPr>
          <w:lang w:val="pt-BR" w:bidi="pt-PT"/>
        </w:rPr>
        <w:t>Melhores práticas para conceber uma abordagem de envolvimento</w:t>
      </w:r>
    </w:p>
    <w:p w14:paraId="2E986C1F" w14:textId="77777777" w:rsidR="00A0315D" w:rsidRPr="00ED6AC3" w:rsidRDefault="00A0315D" w:rsidP="00267629">
      <w:pPr>
        <w:pStyle w:val="Body"/>
        <w:numPr>
          <w:ilvl w:val="0"/>
          <w:numId w:val="32"/>
        </w:numPr>
        <w:jc w:val="both"/>
        <w:rPr>
          <w:rFonts w:cstheme="minorHAnsi"/>
          <w:lang w:val="pt-BR"/>
        </w:rPr>
      </w:pPr>
      <w:r w:rsidRPr="00ED6AC3">
        <w:rPr>
          <w:rFonts w:cstheme="minorHAnsi"/>
          <w:lang w:val="pt-BR" w:bidi="pt-PT"/>
        </w:rPr>
        <w:t>No geral, é recomendável assegurar a observância dos critérios seguintes ao conceber o processo de consulta:</w:t>
      </w:r>
      <w:r w:rsidRPr="00ED6AC3">
        <w:rPr>
          <w:rFonts w:cstheme="minorHAnsi"/>
          <w:vertAlign w:val="superscript"/>
          <w:lang w:val="pt-BR" w:bidi="pt-PT"/>
        </w:rPr>
        <w:footnoteReference w:id="3"/>
      </w:r>
      <w:r w:rsidRPr="00ED6AC3">
        <w:rPr>
          <w:rFonts w:cstheme="minorHAnsi"/>
          <w:b/>
          <w:lang w:val="pt-BR" w:bidi="pt-PT"/>
        </w:rPr>
        <w:t xml:space="preserve">Inclusão </w:t>
      </w:r>
      <w:r w:rsidRPr="00ED6AC3">
        <w:rPr>
          <w:rFonts w:cstheme="minorHAnsi"/>
          <w:lang w:val="pt-BR" w:bidi="pt-PT"/>
        </w:rPr>
        <w:t xml:space="preserve">– para assegurar que a resposta do país ao inquérito se baseie na participação representativa de todos os grupos de partes interessadas relevantes, deve ser convidado para as consultas um vasto leque de partes interessadas, levando em conta a orientação facultada na secção anterior </w:t>
      </w:r>
      <w:r w:rsidRPr="00ED6AC3">
        <w:rPr>
          <w:rFonts w:cstheme="minorHAnsi"/>
          <w:i/>
          <w:lang w:val="pt-BR" w:bidi="pt-PT"/>
        </w:rPr>
        <w:t>Envolvimento das partes interessadas.</w:t>
      </w:r>
      <w:r w:rsidRPr="00ED6AC3">
        <w:rPr>
          <w:rFonts w:cstheme="minorHAnsi"/>
          <w:vertAlign w:val="superscript"/>
          <w:lang w:val="pt-BR" w:bidi="pt-PT"/>
        </w:rPr>
        <w:footnoteReference w:id="4"/>
      </w:r>
    </w:p>
    <w:p w14:paraId="2878A8D2" w14:textId="77777777" w:rsidR="00A0315D" w:rsidRPr="00ED6AC3" w:rsidRDefault="00A0315D" w:rsidP="00267629">
      <w:pPr>
        <w:pStyle w:val="Body"/>
        <w:numPr>
          <w:ilvl w:val="0"/>
          <w:numId w:val="32"/>
        </w:numPr>
        <w:jc w:val="both"/>
        <w:rPr>
          <w:rFonts w:cstheme="minorHAnsi"/>
          <w:lang w:val="pt-BR"/>
        </w:rPr>
      </w:pPr>
      <w:r w:rsidRPr="00ED6AC3">
        <w:rPr>
          <w:rFonts w:cstheme="minorHAnsi"/>
          <w:b/>
          <w:lang w:val="pt-BR" w:bidi="pt-PT"/>
        </w:rPr>
        <w:t xml:space="preserve">Justiça procedimental </w:t>
      </w:r>
      <w:r w:rsidRPr="00ED6AC3">
        <w:rPr>
          <w:rFonts w:cstheme="minorHAnsi"/>
          <w:lang w:val="pt-BR" w:bidi="pt-PT"/>
        </w:rPr>
        <w:t>– é importante que cada agente participante tenha a oportunidade de intervir no processo e, consequentemente, a capacidade genuína de influenciar os resultados finais. Tal pode, por exemplo, ser facilitado disponibilizando informações com antecedência a todas as partes interessadas e organizando reuniões pré-</w:t>
      </w:r>
      <w:r w:rsidRPr="00ED6AC3">
        <w:rPr>
          <w:rFonts w:cstheme="minorHAnsi"/>
          <w:i/>
          <w:lang w:val="pt-BR" w:bidi="pt-PT"/>
        </w:rPr>
        <w:t xml:space="preserve">workshop </w:t>
      </w:r>
      <w:r w:rsidRPr="00ED6AC3">
        <w:rPr>
          <w:rFonts w:cstheme="minorHAnsi"/>
          <w:lang w:val="pt-BR" w:bidi="pt-PT"/>
        </w:rPr>
        <w:t>para familiarizar os não-especialistas com os termos técnicos e a gíria. Também é importante assegurar que todos os participantes tenham espaço e tempo para expressar a sua opinião na consulta por meio de formatos específicos, como sessões em pequenos grupos.</w:t>
      </w:r>
    </w:p>
    <w:p w14:paraId="37F145AC" w14:textId="3F2C4620" w:rsidR="00A0315D" w:rsidRPr="00ED6AC3" w:rsidRDefault="00A0315D" w:rsidP="00267629">
      <w:pPr>
        <w:pStyle w:val="Body"/>
        <w:numPr>
          <w:ilvl w:val="0"/>
          <w:numId w:val="32"/>
        </w:numPr>
        <w:jc w:val="both"/>
        <w:rPr>
          <w:rFonts w:cstheme="minorHAnsi"/>
          <w:lang w:val="pt-BR"/>
        </w:rPr>
      </w:pPr>
      <w:r w:rsidRPr="00ED6AC3">
        <w:rPr>
          <w:rFonts w:cstheme="minorHAnsi"/>
          <w:b/>
          <w:lang w:val="pt-BR" w:bidi="pt-PT"/>
        </w:rPr>
        <w:t>Acordo por consenso</w:t>
      </w:r>
      <w:r w:rsidRPr="00ED6AC3">
        <w:rPr>
          <w:rFonts w:cstheme="minorHAnsi"/>
          <w:lang w:val="pt-BR" w:bidi="pt-PT"/>
        </w:rPr>
        <w:t xml:space="preserve"> – é importante que todos tenham a oportunidade de falar, fazer críticas e contribuir com informações ou argumentos novos para o debate num </w:t>
      </w:r>
      <w:r w:rsidRPr="00ED6AC3">
        <w:rPr>
          <w:rFonts w:cstheme="minorHAnsi"/>
          <w:lang w:val="pt-BR" w:bidi="pt-PT"/>
        </w:rPr>
        <w:lastRenderedPageBreak/>
        <w:t xml:space="preserve">ambiente propício, para o qual o papel do facilitador é crucial. Os exercícios de criação de confiança (como os que se destinam a quebrar o gelo ou a dar energia), as discussões de grupos focais seguidas de sessões de comentários ou os métodos criativos de estruturação de problemas, como os exercícios de abstração e visionação ou os que se baseiam em </w:t>
      </w:r>
      <w:hyperlink r:id="rId49" w:history="1">
        <w:r w:rsidRPr="00ED6AC3">
          <w:rPr>
            <w:rStyle w:val="Hyperlink"/>
            <w:rFonts w:cstheme="minorHAnsi"/>
            <w:lang w:val="pt-BR" w:bidi="pt-PT"/>
          </w:rPr>
          <w:t>Estruturas Libertadoras</w:t>
        </w:r>
      </w:hyperlink>
      <w:r w:rsidRPr="00ED6AC3">
        <w:rPr>
          <w:rFonts w:cstheme="minorHAnsi"/>
          <w:lang w:val="pt-BR" w:bidi="pt-PT"/>
        </w:rPr>
        <w:t>, podem ser ferramentas úteis para reforçar este aspeto.</w:t>
      </w:r>
    </w:p>
    <w:p w14:paraId="3E0AB8F7" w14:textId="3BC97717" w:rsidR="00A0315D" w:rsidRPr="00ED6AC3" w:rsidRDefault="00A0315D" w:rsidP="00267629">
      <w:pPr>
        <w:pStyle w:val="Body"/>
        <w:numPr>
          <w:ilvl w:val="0"/>
          <w:numId w:val="32"/>
        </w:numPr>
        <w:jc w:val="both"/>
        <w:rPr>
          <w:rFonts w:cstheme="minorHAnsi"/>
          <w:lang w:val="pt-BR"/>
        </w:rPr>
      </w:pPr>
      <w:r w:rsidRPr="00ED6AC3">
        <w:rPr>
          <w:rFonts w:cstheme="minorHAnsi"/>
          <w:b/>
          <w:lang w:val="pt-BR" w:bidi="pt-PT"/>
        </w:rPr>
        <w:t xml:space="preserve">Transparência </w:t>
      </w:r>
      <w:r w:rsidRPr="00ED6AC3">
        <w:rPr>
          <w:rFonts w:cstheme="minorHAnsi"/>
          <w:lang w:val="pt-BR" w:bidi="pt-PT"/>
        </w:rPr>
        <w:t xml:space="preserve">– as informações devem ser disponibilizadas publicamente a todos os envolvidos e deve possibilitar-se que todas as partes interessadas relevantes, independentemente de terem ou não participado no </w:t>
      </w:r>
      <w:r w:rsidRPr="00ED6AC3">
        <w:rPr>
          <w:rFonts w:cstheme="minorHAnsi"/>
          <w:i/>
          <w:lang w:val="pt-BR" w:bidi="pt-PT"/>
        </w:rPr>
        <w:t>workshop,</w:t>
      </w:r>
      <w:r w:rsidRPr="00ED6AC3">
        <w:rPr>
          <w:rFonts w:cstheme="minorHAnsi"/>
          <w:lang w:val="pt-BR" w:bidi="pt-PT"/>
        </w:rPr>
        <w:t xml:space="preserve"> tenham acesso a elas antes da consulta, bem como ao relato pormenorizado dos debates realizados e dos resultados acordados. Os relatórios de </w:t>
      </w:r>
      <w:r w:rsidRPr="00ED6AC3">
        <w:rPr>
          <w:rFonts w:cstheme="minorHAnsi"/>
          <w:i/>
          <w:lang w:val="pt-BR" w:bidi="pt-PT"/>
        </w:rPr>
        <w:t>workshops</w:t>
      </w:r>
      <w:r w:rsidRPr="00ED6AC3">
        <w:rPr>
          <w:rFonts w:cstheme="minorHAnsi"/>
          <w:lang w:val="pt-BR" w:bidi="pt-PT"/>
        </w:rPr>
        <w:t xml:space="preserve"> de partes interessadas são uma excelente forma de documentar os processos nacionais para consulta futura e transparência (ver o </w:t>
      </w:r>
      <w:hyperlink r:id="rId50" w:history="1">
        <w:r w:rsidRPr="00ED6AC3">
          <w:rPr>
            <w:rStyle w:val="Hyperlink"/>
            <w:rFonts w:cstheme="minorHAnsi"/>
            <w:i/>
            <w:lang w:val="pt-BR" w:bidi="pt-PT"/>
          </w:rPr>
          <w:t>Anexo 3</w:t>
        </w:r>
      </w:hyperlink>
      <w:r w:rsidRPr="00ED6AC3">
        <w:rPr>
          <w:rFonts w:cstheme="minorHAnsi"/>
          <w:lang w:val="pt-BR" w:bidi="pt-PT"/>
        </w:rPr>
        <w:t xml:space="preserve"> para um modelo).</w:t>
      </w:r>
    </w:p>
    <w:p w14:paraId="7299B7FB" w14:textId="3C66C1A2" w:rsidR="00342022" w:rsidRPr="00ED6AC3" w:rsidRDefault="00A0315D" w:rsidP="00267629">
      <w:pPr>
        <w:pStyle w:val="Body"/>
        <w:jc w:val="both"/>
        <w:rPr>
          <w:rFonts w:ascii="Times New Roman" w:hAnsi="Times New Roman" w:cs="Times New Roman"/>
          <w:lang w:val="pt-BR"/>
        </w:rPr>
      </w:pPr>
      <w:r w:rsidRPr="00ED6AC3">
        <w:rPr>
          <w:rFonts w:cstheme="minorHAnsi"/>
          <w:lang w:val="pt-BR" w:bidi="pt-PT"/>
        </w:rPr>
        <w:t>O quadro abaixo apresenta uma panorâmica prática das vantagens e desvantagens das abordagens de envolvimento das partes interessadas com base em dados acumulados da ronda anterior de consultas às partes interessadas para monitorização do ODS 6.5.1.</w:t>
      </w:r>
      <w:r w:rsidR="00342022" w:rsidRPr="00ED6AC3">
        <w:rPr>
          <w:rFonts w:ascii="Times New Roman" w:hAnsi="Times New Roman" w:cs="Times New Roman"/>
          <w:lang w:val="pt-BR"/>
        </w:rPr>
        <w:t xml:space="preserve"> </w:t>
      </w:r>
    </w:p>
    <w:tbl>
      <w:tblPr>
        <w:tblStyle w:val="GridTable1Light-Accent1"/>
        <w:tblW w:w="9360" w:type="dxa"/>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593"/>
        <w:gridCol w:w="3792"/>
        <w:gridCol w:w="3975"/>
      </w:tblGrid>
      <w:tr w:rsidR="00267629" w:rsidRPr="00ED6AC3" w14:paraId="14E6E240" w14:textId="77777777" w:rsidTr="00037028">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577" w:type="dxa"/>
            <w:tcBorders>
              <w:bottom w:val="none" w:sz="0" w:space="0" w:color="auto"/>
            </w:tcBorders>
            <w:shd w:val="clear" w:color="auto" w:fill="12354E" w:themeFill="accent1" w:themeFillShade="BF"/>
          </w:tcPr>
          <w:p w14:paraId="0D344F72" w14:textId="77777777" w:rsidR="00267629" w:rsidRPr="00ED6AC3" w:rsidRDefault="00267629" w:rsidP="00037028">
            <w:pPr>
              <w:rPr>
                <w:rFonts w:eastAsiaTheme="minorEastAsia"/>
                <w:color w:val="FFFFFF" w:themeColor="background1"/>
                <w:sz w:val="24"/>
                <w:szCs w:val="20"/>
                <w:lang w:val="pt-BR"/>
              </w:rPr>
            </w:pPr>
            <w:r w:rsidRPr="00ED6AC3">
              <w:rPr>
                <w:rFonts w:eastAsiaTheme="minorEastAsia"/>
                <w:color w:val="FFFFFF" w:themeColor="background1"/>
                <w:sz w:val="24"/>
                <w:szCs w:val="20"/>
                <w:lang w:val="pt-BR" w:bidi="pt-PT"/>
              </w:rPr>
              <w:t>Abordagem</w:t>
            </w:r>
          </w:p>
        </w:tc>
        <w:tc>
          <w:tcPr>
            <w:tcW w:w="3799" w:type="dxa"/>
            <w:tcBorders>
              <w:bottom w:val="none" w:sz="0" w:space="0" w:color="auto"/>
            </w:tcBorders>
            <w:shd w:val="clear" w:color="auto" w:fill="12354E" w:themeFill="accent1" w:themeFillShade="BF"/>
          </w:tcPr>
          <w:p w14:paraId="2AD87838" w14:textId="77777777" w:rsidR="00267629" w:rsidRPr="00ED6AC3" w:rsidRDefault="00267629" w:rsidP="00037028">
            <w:pPr>
              <w:cnfStyle w:val="100000000000" w:firstRow="1" w:lastRow="0" w:firstColumn="0" w:lastColumn="0" w:oddVBand="0" w:evenVBand="0" w:oddHBand="0" w:evenHBand="0" w:firstRowFirstColumn="0" w:firstRowLastColumn="0" w:lastRowFirstColumn="0" w:lastRowLastColumn="0"/>
              <w:rPr>
                <w:rFonts w:eastAsiaTheme="minorEastAsia"/>
                <w:color w:val="FFFFFF" w:themeColor="background1"/>
                <w:sz w:val="24"/>
                <w:szCs w:val="20"/>
                <w:lang w:val="pt-BR"/>
              </w:rPr>
            </w:pPr>
            <w:r w:rsidRPr="00ED6AC3">
              <w:rPr>
                <w:rFonts w:eastAsiaTheme="minorEastAsia"/>
                <w:color w:val="FFFFFF" w:themeColor="background1"/>
                <w:sz w:val="24"/>
                <w:szCs w:val="20"/>
                <w:lang w:val="pt-BR" w:bidi="pt-PT"/>
              </w:rPr>
              <w:t>Vantagens</w:t>
            </w:r>
          </w:p>
        </w:tc>
        <w:tc>
          <w:tcPr>
            <w:tcW w:w="3984" w:type="dxa"/>
            <w:tcBorders>
              <w:bottom w:val="none" w:sz="0" w:space="0" w:color="auto"/>
            </w:tcBorders>
            <w:shd w:val="clear" w:color="auto" w:fill="0C2334" w:themeFill="accent1" w:themeFillShade="80"/>
          </w:tcPr>
          <w:p w14:paraId="4D88D1D6" w14:textId="77777777" w:rsidR="00267629" w:rsidRPr="00ED6AC3" w:rsidRDefault="00267629" w:rsidP="00037028">
            <w:pPr>
              <w:cnfStyle w:val="100000000000" w:firstRow="1" w:lastRow="0" w:firstColumn="0" w:lastColumn="0" w:oddVBand="0" w:evenVBand="0" w:oddHBand="0" w:evenHBand="0" w:firstRowFirstColumn="0" w:firstRowLastColumn="0" w:lastRowFirstColumn="0" w:lastRowLastColumn="0"/>
              <w:rPr>
                <w:rFonts w:eastAsiaTheme="minorEastAsia"/>
                <w:color w:val="12354E" w:themeColor="accent1" w:themeShade="BF"/>
                <w:sz w:val="20"/>
                <w:szCs w:val="20"/>
                <w:lang w:val="pt-BR"/>
              </w:rPr>
            </w:pPr>
            <w:r w:rsidRPr="00ED6AC3">
              <w:rPr>
                <w:rFonts w:eastAsiaTheme="minorEastAsia"/>
                <w:color w:val="12354E" w:themeColor="accent1" w:themeShade="BF"/>
                <w:sz w:val="20"/>
                <w:szCs w:val="20"/>
                <w:lang w:val="pt-BR" w:bidi="pt-PT"/>
              </w:rPr>
              <w:t>Desvantagens</w:t>
            </w:r>
          </w:p>
        </w:tc>
      </w:tr>
      <w:tr w:rsidR="00267629" w:rsidRPr="00ED6AC3" w14:paraId="086003DE" w14:textId="77777777" w:rsidTr="00037028">
        <w:trPr>
          <w:trHeight w:val="300"/>
        </w:trPr>
        <w:tc>
          <w:tcPr>
            <w:cnfStyle w:val="001000000000" w:firstRow="0" w:lastRow="0" w:firstColumn="1" w:lastColumn="0" w:oddVBand="0" w:evenVBand="0" w:oddHBand="0" w:evenHBand="0" w:firstRowFirstColumn="0" w:firstRowLastColumn="0" w:lastRowFirstColumn="0" w:lastRowLastColumn="0"/>
            <w:tcW w:w="1577" w:type="dxa"/>
          </w:tcPr>
          <w:p w14:paraId="78826D1D" w14:textId="77777777" w:rsidR="00267629" w:rsidRPr="00ED6AC3" w:rsidRDefault="00267629" w:rsidP="00037028">
            <w:pPr>
              <w:rPr>
                <w:rFonts w:eastAsiaTheme="minorEastAsia"/>
                <w:color w:val="12354E" w:themeColor="accent1" w:themeShade="BF"/>
                <w:sz w:val="24"/>
                <w:szCs w:val="20"/>
                <w:lang w:val="pt-BR"/>
              </w:rPr>
            </w:pPr>
            <w:r w:rsidRPr="00ED6AC3">
              <w:rPr>
                <w:rFonts w:eastAsiaTheme="minorEastAsia"/>
                <w:color w:val="12354E" w:themeColor="accent1" w:themeShade="BF"/>
                <w:sz w:val="24"/>
                <w:szCs w:val="20"/>
                <w:lang w:val="pt-BR" w:bidi="pt-PT"/>
              </w:rPr>
              <w:t>Envolvimento online</w:t>
            </w:r>
          </w:p>
          <w:p w14:paraId="3EA0F6C2" w14:textId="77777777" w:rsidR="00267629" w:rsidRPr="00ED6AC3" w:rsidRDefault="00267629" w:rsidP="00037028">
            <w:pPr>
              <w:rPr>
                <w:rFonts w:eastAsiaTheme="minorEastAsia"/>
                <w:color w:val="12354E" w:themeColor="accent1" w:themeShade="BF"/>
                <w:sz w:val="24"/>
                <w:szCs w:val="20"/>
                <w:lang w:val="pt-BR"/>
              </w:rPr>
            </w:pPr>
          </w:p>
        </w:tc>
        <w:tc>
          <w:tcPr>
            <w:tcW w:w="3799" w:type="dxa"/>
          </w:tcPr>
          <w:p w14:paraId="402748D1" w14:textId="77777777" w:rsidR="00267629" w:rsidRPr="00ED6AC3" w:rsidRDefault="00267629" w:rsidP="00037028">
            <w:pPr>
              <w:numPr>
                <w:ilvl w:val="0"/>
                <w:numId w:val="8"/>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rPr>
            </w:pPr>
            <w:r w:rsidRPr="00ED6AC3">
              <w:rPr>
                <w:rFonts w:eastAsiaTheme="minorEastAsia"/>
                <w:color w:val="12354E" w:themeColor="accent1" w:themeShade="BF"/>
                <w:sz w:val="24"/>
                <w:szCs w:val="20"/>
                <w:lang w:val="pt-BR" w:bidi="pt-PT"/>
              </w:rPr>
              <w:t>é mais fácil contactar as partes interessadas, o que permite um envolvimento mais vasto, inclusive das partes interessadas subnacionais (por exemplo, partes interessadas sediadas fora das capitais);</w:t>
            </w:r>
          </w:p>
          <w:p w14:paraId="3E2159AF" w14:textId="77777777" w:rsidR="00267629" w:rsidRPr="00ED6AC3" w:rsidRDefault="00267629" w:rsidP="00037028">
            <w:pPr>
              <w:numPr>
                <w:ilvl w:val="0"/>
                <w:numId w:val="8"/>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rPr>
            </w:pPr>
            <w:r w:rsidRPr="00ED6AC3">
              <w:rPr>
                <w:rFonts w:eastAsiaTheme="minorEastAsia"/>
                <w:color w:val="12354E" w:themeColor="accent1" w:themeShade="BF"/>
                <w:sz w:val="24"/>
                <w:szCs w:val="20"/>
                <w:lang w:val="pt-BR" w:bidi="pt-PT"/>
              </w:rPr>
              <w:t>eficiência em termos de custos.</w:t>
            </w:r>
          </w:p>
        </w:tc>
        <w:tc>
          <w:tcPr>
            <w:tcW w:w="3984" w:type="dxa"/>
          </w:tcPr>
          <w:p w14:paraId="207A6DA9" w14:textId="77777777" w:rsidR="00267629" w:rsidRPr="00ED6AC3" w:rsidRDefault="00267629" w:rsidP="00037028">
            <w:pPr>
              <w:numPr>
                <w:ilvl w:val="0"/>
                <w:numId w:val="8"/>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bidi="pt-PT"/>
              </w:rPr>
            </w:pPr>
            <w:r w:rsidRPr="00ED6AC3">
              <w:rPr>
                <w:rFonts w:eastAsiaTheme="minorEastAsia"/>
                <w:color w:val="12354E" w:themeColor="accent1" w:themeShade="BF"/>
                <w:sz w:val="24"/>
                <w:szCs w:val="20"/>
                <w:lang w:val="pt-BR" w:bidi="pt-PT"/>
              </w:rPr>
              <w:t>não permite uma discussão aprofundada dos temas devido às limitações de tempo;</w:t>
            </w:r>
          </w:p>
          <w:p w14:paraId="13CDB321" w14:textId="77777777" w:rsidR="00267629" w:rsidRPr="00ED6AC3" w:rsidRDefault="00267629" w:rsidP="00037028">
            <w:pPr>
              <w:numPr>
                <w:ilvl w:val="0"/>
                <w:numId w:val="8"/>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bidi="pt-PT"/>
              </w:rPr>
            </w:pPr>
            <w:r w:rsidRPr="00ED6AC3">
              <w:rPr>
                <w:rFonts w:eastAsiaTheme="minorEastAsia"/>
                <w:color w:val="12354E" w:themeColor="accent1" w:themeShade="BF"/>
                <w:sz w:val="24"/>
                <w:szCs w:val="20"/>
                <w:lang w:val="pt-BR" w:bidi="pt-PT"/>
              </w:rPr>
              <w:t>o acesso digital é o principal fator impeditivo da participação;</w:t>
            </w:r>
          </w:p>
          <w:p w14:paraId="555DBE72" w14:textId="77777777" w:rsidR="00267629" w:rsidRPr="00ED6AC3" w:rsidRDefault="00267629" w:rsidP="00037028">
            <w:pPr>
              <w:numPr>
                <w:ilvl w:val="0"/>
                <w:numId w:val="8"/>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bidi="pt-PT"/>
              </w:rPr>
            </w:pPr>
            <w:r w:rsidRPr="00ED6AC3">
              <w:rPr>
                <w:rFonts w:eastAsiaTheme="minorEastAsia"/>
                <w:color w:val="12354E" w:themeColor="accent1" w:themeShade="BF"/>
                <w:sz w:val="24"/>
                <w:szCs w:val="20"/>
                <w:lang w:val="pt-BR" w:bidi="pt-PT"/>
              </w:rPr>
              <w:t>menor capacidade de incentivar debates construtivos e pode exigir moderadores adicionais.</w:t>
            </w:r>
          </w:p>
        </w:tc>
      </w:tr>
      <w:tr w:rsidR="00267629" w:rsidRPr="00ED6AC3" w14:paraId="7C2BE0D6" w14:textId="77777777" w:rsidTr="00037028">
        <w:trPr>
          <w:trHeight w:val="300"/>
        </w:trPr>
        <w:tc>
          <w:tcPr>
            <w:cnfStyle w:val="001000000000" w:firstRow="0" w:lastRow="0" w:firstColumn="1" w:lastColumn="0" w:oddVBand="0" w:evenVBand="0" w:oddHBand="0" w:evenHBand="0" w:firstRowFirstColumn="0" w:firstRowLastColumn="0" w:lastRowFirstColumn="0" w:lastRowLastColumn="0"/>
            <w:tcW w:w="1577" w:type="dxa"/>
          </w:tcPr>
          <w:p w14:paraId="66811711" w14:textId="77777777" w:rsidR="00267629" w:rsidRPr="00ED6AC3" w:rsidRDefault="00267629" w:rsidP="00037028">
            <w:pPr>
              <w:rPr>
                <w:rFonts w:eastAsiaTheme="minorEastAsia"/>
                <w:color w:val="12354E" w:themeColor="accent1" w:themeShade="BF"/>
                <w:sz w:val="24"/>
                <w:szCs w:val="20"/>
                <w:lang w:val="pt-BR"/>
              </w:rPr>
            </w:pPr>
            <w:r w:rsidRPr="00ED6AC3">
              <w:rPr>
                <w:rFonts w:eastAsiaTheme="minorEastAsia"/>
                <w:color w:val="12354E" w:themeColor="accent1" w:themeShade="BF"/>
                <w:sz w:val="24"/>
                <w:szCs w:val="20"/>
                <w:lang w:val="pt-BR" w:bidi="pt-PT"/>
              </w:rPr>
              <w:t>Envolvimento presencial</w:t>
            </w:r>
          </w:p>
        </w:tc>
        <w:tc>
          <w:tcPr>
            <w:tcW w:w="3799" w:type="dxa"/>
          </w:tcPr>
          <w:p w14:paraId="015EC298" w14:textId="77777777" w:rsidR="00267629" w:rsidRPr="00ED6AC3" w:rsidRDefault="00267629" w:rsidP="00037028">
            <w:pPr>
              <w:numPr>
                <w:ilvl w:val="0"/>
                <w:numId w:val="9"/>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rPr>
            </w:pPr>
            <w:r w:rsidRPr="00ED6AC3">
              <w:rPr>
                <w:rFonts w:eastAsiaTheme="minorEastAsia"/>
                <w:color w:val="12354E" w:themeColor="accent1" w:themeShade="BF"/>
                <w:sz w:val="24"/>
                <w:szCs w:val="20"/>
                <w:lang w:val="pt-BR" w:bidi="pt-PT"/>
              </w:rPr>
              <w:t>procedimento potencialmente mais justo de envolvimento das partes interessadas;</w:t>
            </w:r>
          </w:p>
          <w:p w14:paraId="2B5BE569" w14:textId="77777777" w:rsidR="00267629" w:rsidRPr="00ED6AC3" w:rsidRDefault="00267629" w:rsidP="00037028">
            <w:pPr>
              <w:numPr>
                <w:ilvl w:val="0"/>
                <w:numId w:val="9"/>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rPr>
            </w:pPr>
            <w:r w:rsidRPr="00ED6AC3">
              <w:rPr>
                <w:rFonts w:eastAsiaTheme="minorEastAsia"/>
                <w:color w:val="12354E" w:themeColor="accent1" w:themeShade="BF"/>
                <w:sz w:val="24"/>
                <w:szCs w:val="20"/>
                <w:lang w:val="pt-BR" w:bidi="pt-PT"/>
              </w:rPr>
              <w:t>proporciona mais oportunidades para chegar a consenso e obter a atenção de todas as partes interessadas;</w:t>
            </w:r>
          </w:p>
          <w:p w14:paraId="7F7CBCB7" w14:textId="77777777" w:rsidR="00267629" w:rsidRPr="00ED6AC3" w:rsidRDefault="00267629" w:rsidP="00037028">
            <w:pPr>
              <w:numPr>
                <w:ilvl w:val="0"/>
                <w:numId w:val="9"/>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rPr>
            </w:pPr>
            <w:r w:rsidRPr="00ED6AC3">
              <w:rPr>
                <w:rFonts w:eastAsiaTheme="minorEastAsia"/>
                <w:color w:val="12354E" w:themeColor="accent1" w:themeShade="BF"/>
                <w:sz w:val="24"/>
                <w:szCs w:val="20"/>
                <w:lang w:val="pt-BR" w:bidi="pt-PT"/>
              </w:rPr>
              <w:t>mais propício ao desenvolvimento de discussões aprofundadas.</w:t>
            </w:r>
          </w:p>
        </w:tc>
        <w:tc>
          <w:tcPr>
            <w:tcW w:w="3984" w:type="dxa"/>
          </w:tcPr>
          <w:p w14:paraId="6F60C06F" w14:textId="77777777" w:rsidR="00267629" w:rsidRPr="00ED6AC3" w:rsidRDefault="00267629" w:rsidP="00037028">
            <w:pPr>
              <w:numPr>
                <w:ilvl w:val="0"/>
                <w:numId w:val="8"/>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bidi="pt-PT"/>
              </w:rPr>
            </w:pPr>
            <w:r w:rsidRPr="00ED6AC3">
              <w:rPr>
                <w:rFonts w:eastAsiaTheme="minorEastAsia"/>
                <w:color w:val="12354E" w:themeColor="accent1" w:themeShade="BF"/>
                <w:sz w:val="24"/>
                <w:szCs w:val="20"/>
                <w:lang w:val="pt-BR" w:bidi="pt-PT"/>
              </w:rPr>
              <w:t>inconvenientes potenciais em termos de inclusão (custos financeiros e requisitos de tempo);</w:t>
            </w:r>
          </w:p>
          <w:p w14:paraId="6DC365F9" w14:textId="77777777" w:rsidR="00267629" w:rsidRPr="00ED6AC3" w:rsidRDefault="00267629" w:rsidP="00037028">
            <w:pPr>
              <w:numPr>
                <w:ilvl w:val="0"/>
                <w:numId w:val="8"/>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bidi="pt-PT"/>
              </w:rPr>
            </w:pPr>
            <w:r w:rsidRPr="00ED6AC3">
              <w:rPr>
                <w:rFonts w:eastAsiaTheme="minorEastAsia"/>
                <w:color w:val="12354E" w:themeColor="accent1" w:themeShade="BF"/>
                <w:sz w:val="24"/>
                <w:szCs w:val="20"/>
                <w:lang w:val="pt-BR" w:bidi="pt-PT"/>
              </w:rPr>
              <w:t>o nível de transparência depende do facilitador e do ponto focal; por exemplo, se alguns segmentos do evento ou processo forem abertos apenas a um determinado grupo de partes interessadas ou se os contributos forem recolhidos de maneira diferente.</w:t>
            </w:r>
          </w:p>
        </w:tc>
      </w:tr>
      <w:tr w:rsidR="00267629" w:rsidRPr="00ED6AC3" w14:paraId="58264903" w14:textId="77777777" w:rsidTr="00037028">
        <w:trPr>
          <w:trHeight w:val="300"/>
        </w:trPr>
        <w:tc>
          <w:tcPr>
            <w:cnfStyle w:val="001000000000" w:firstRow="0" w:lastRow="0" w:firstColumn="1" w:lastColumn="0" w:oddVBand="0" w:evenVBand="0" w:oddHBand="0" w:evenHBand="0" w:firstRowFirstColumn="0" w:firstRowLastColumn="0" w:lastRowFirstColumn="0" w:lastRowLastColumn="0"/>
            <w:tcW w:w="1577" w:type="dxa"/>
          </w:tcPr>
          <w:p w14:paraId="3A5D7AC9" w14:textId="77777777" w:rsidR="00267629" w:rsidRPr="00ED6AC3" w:rsidRDefault="00267629" w:rsidP="00037028">
            <w:pPr>
              <w:rPr>
                <w:rFonts w:eastAsiaTheme="minorEastAsia"/>
                <w:color w:val="12354E" w:themeColor="accent1" w:themeShade="BF"/>
                <w:sz w:val="24"/>
                <w:szCs w:val="20"/>
                <w:lang w:val="pt-BR"/>
              </w:rPr>
            </w:pPr>
            <w:r w:rsidRPr="00ED6AC3">
              <w:rPr>
                <w:rFonts w:eastAsiaTheme="minorEastAsia"/>
                <w:color w:val="12354E" w:themeColor="accent1" w:themeShade="BF"/>
                <w:sz w:val="24"/>
                <w:szCs w:val="20"/>
                <w:lang w:val="pt-BR" w:bidi="pt-PT"/>
              </w:rPr>
              <w:t>Combinada</w:t>
            </w:r>
          </w:p>
        </w:tc>
        <w:tc>
          <w:tcPr>
            <w:tcW w:w="3799" w:type="dxa"/>
          </w:tcPr>
          <w:p w14:paraId="2F3C5367" w14:textId="77777777" w:rsidR="00267629" w:rsidRPr="00ED6AC3" w:rsidRDefault="00267629" w:rsidP="00037028">
            <w:pPr>
              <w:numPr>
                <w:ilvl w:val="0"/>
                <w:numId w:val="8"/>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bidi="pt-PT"/>
              </w:rPr>
            </w:pPr>
            <w:r w:rsidRPr="00ED6AC3">
              <w:rPr>
                <w:rFonts w:eastAsiaTheme="minorEastAsia"/>
                <w:color w:val="12354E" w:themeColor="accent1" w:themeShade="BF"/>
                <w:sz w:val="24"/>
                <w:szCs w:val="20"/>
                <w:lang w:val="pt-BR" w:bidi="pt-PT"/>
              </w:rPr>
              <w:t>pode ser a abordagem mais abrangente para gerar e recolher contributos das partes interessadas;</w:t>
            </w:r>
          </w:p>
          <w:p w14:paraId="38585CDA" w14:textId="77777777" w:rsidR="00267629" w:rsidRPr="00ED6AC3" w:rsidRDefault="00267629" w:rsidP="00037028">
            <w:pPr>
              <w:numPr>
                <w:ilvl w:val="0"/>
                <w:numId w:val="8"/>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bidi="pt-PT"/>
              </w:rPr>
            </w:pPr>
            <w:r w:rsidRPr="00ED6AC3">
              <w:rPr>
                <w:rFonts w:eastAsiaTheme="minorEastAsia"/>
                <w:color w:val="12354E" w:themeColor="accent1" w:themeShade="BF"/>
                <w:sz w:val="24"/>
                <w:szCs w:val="20"/>
                <w:lang w:val="pt-BR" w:bidi="pt-PT"/>
              </w:rPr>
              <w:t xml:space="preserve">pode ser usada para melhorar a inclusão das partes interessadas </w:t>
            </w:r>
            <w:r w:rsidRPr="00ED6AC3">
              <w:rPr>
                <w:rFonts w:eastAsiaTheme="minorEastAsia"/>
                <w:color w:val="12354E" w:themeColor="accent1" w:themeShade="BF"/>
                <w:sz w:val="24"/>
                <w:szCs w:val="20"/>
                <w:lang w:val="pt-BR" w:bidi="pt-PT"/>
              </w:rPr>
              <w:lastRenderedPageBreak/>
              <w:t>quando algumas delas não puderem comparecer presencialmente e para acordos por consenso por meio de uma abordagem em duas etapas.</w:t>
            </w:r>
          </w:p>
        </w:tc>
        <w:tc>
          <w:tcPr>
            <w:tcW w:w="3984" w:type="dxa"/>
          </w:tcPr>
          <w:p w14:paraId="30EEE725" w14:textId="77777777" w:rsidR="00267629" w:rsidRPr="00ED6AC3" w:rsidRDefault="00267629" w:rsidP="00037028">
            <w:pPr>
              <w:numPr>
                <w:ilvl w:val="0"/>
                <w:numId w:val="8"/>
              </w:numPr>
              <w:ind w:left="418"/>
              <w:cnfStyle w:val="000000000000" w:firstRow="0" w:lastRow="0" w:firstColumn="0" w:lastColumn="0" w:oddVBand="0" w:evenVBand="0" w:oddHBand="0" w:evenHBand="0" w:firstRowFirstColumn="0" w:firstRowLastColumn="0" w:lastRowFirstColumn="0" w:lastRowLastColumn="0"/>
              <w:rPr>
                <w:rFonts w:eastAsiaTheme="minorEastAsia"/>
                <w:color w:val="12354E" w:themeColor="accent1" w:themeShade="BF"/>
                <w:sz w:val="24"/>
                <w:szCs w:val="20"/>
                <w:lang w:val="pt-BR" w:bidi="pt-PT"/>
              </w:rPr>
            </w:pPr>
            <w:r w:rsidRPr="00ED6AC3">
              <w:rPr>
                <w:rFonts w:eastAsiaTheme="minorEastAsia"/>
                <w:color w:val="12354E" w:themeColor="accent1" w:themeShade="BF"/>
                <w:sz w:val="24"/>
                <w:szCs w:val="20"/>
                <w:lang w:val="pt-BR" w:bidi="pt-PT"/>
              </w:rPr>
              <w:lastRenderedPageBreak/>
              <w:t>problemas potenciais de justiça procedimental, já que as opiniões dos participantes presenciais poderão ter primazia sobre as dos participantes online.</w:t>
            </w:r>
          </w:p>
        </w:tc>
      </w:tr>
    </w:tbl>
    <w:p w14:paraId="6351859F" w14:textId="4369835A" w:rsidR="00342022" w:rsidRPr="00ED6AC3" w:rsidRDefault="00267629" w:rsidP="00267629">
      <w:pPr>
        <w:spacing w:before="120"/>
        <w:jc w:val="both"/>
        <w:rPr>
          <w:rFonts w:eastAsiaTheme="minorEastAsia"/>
          <w:i/>
          <w:iCs/>
          <w:color w:val="12354E" w:themeColor="accent1" w:themeShade="BF"/>
          <w:sz w:val="20"/>
          <w:szCs w:val="20"/>
          <w:lang w:val="pt-BR"/>
        </w:rPr>
      </w:pPr>
      <w:r w:rsidRPr="00ED6AC3">
        <w:rPr>
          <w:rFonts w:eastAsiaTheme="minorEastAsia"/>
          <w:i/>
          <w:iCs/>
          <w:color w:val="12354E" w:themeColor="accent1" w:themeShade="BF"/>
          <w:sz w:val="20"/>
          <w:szCs w:val="20"/>
          <w:lang w:val="pt-BR" w:bidi="pt-PT"/>
        </w:rPr>
        <w:lastRenderedPageBreak/>
        <w:t>Quadro 2: Panorâmica das vantagens e desvantagens das diferentes modalidades de envolvimento das partes interessadas</w:t>
      </w:r>
      <w:r w:rsidRPr="00ED6AC3">
        <w:rPr>
          <w:rFonts w:eastAsiaTheme="minorEastAsia"/>
          <w:i/>
          <w:iCs/>
          <w:color w:val="12354E" w:themeColor="accent1" w:themeShade="BF"/>
          <w:sz w:val="20"/>
          <w:szCs w:val="20"/>
          <w:vertAlign w:val="superscript"/>
          <w:lang w:val="pt-BR" w:bidi="pt-PT"/>
        </w:rPr>
        <w:footnoteReference w:id="5"/>
      </w:r>
    </w:p>
    <w:p w14:paraId="6393BDF9" w14:textId="77777777" w:rsidR="00D57092" w:rsidRPr="00ED6AC3" w:rsidRDefault="00D57092" w:rsidP="00357599">
      <w:pPr>
        <w:pStyle w:val="Body"/>
        <w:jc w:val="both"/>
        <w:rPr>
          <w:rFonts w:cstheme="minorHAnsi"/>
          <w:b/>
          <w:bCs/>
          <w:lang w:val="pt-BR"/>
        </w:rPr>
      </w:pPr>
    </w:p>
    <w:p w14:paraId="30EDE204" w14:textId="6BD98D87" w:rsidR="00D57092" w:rsidRPr="00ED6AC3" w:rsidRDefault="00267629" w:rsidP="00D57092">
      <w:pPr>
        <w:spacing w:after="240"/>
        <w:rPr>
          <w:color w:val="12354E" w:themeColor="accent1" w:themeShade="BF"/>
          <w:lang w:val="pt-BR" w:bidi="pt-PT"/>
        </w:rPr>
      </w:pPr>
      <w:r w:rsidRPr="00ED6AC3">
        <w:rPr>
          <w:color w:val="12354E" w:themeColor="accent1" w:themeShade="BF"/>
          <w:lang w:val="pt-BR" w:bidi="pt-PT"/>
        </w:rPr>
        <w:t>A Caixa 1 faculta exemplos e ensinamentos obtidos nas consultas dos países da ronda de 2020 da monitorização do ODS 6.5.1.</w:t>
      </w:r>
    </w:p>
    <w:p w14:paraId="14175621" w14:textId="71D780EF" w:rsidR="00037028" w:rsidRPr="00ED6AC3" w:rsidRDefault="00037028" w:rsidP="00D57092">
      <w:pPr>
        <w:spacing w:after="240"/>
        <w:rPr>
          <w:color w:val="12354E" w:themeColor="accent1" w:themeShade="BF"/>
          <w:lang w:val="pt-BR"/>
        </w:rPr>
      </w:pPr>
      <w:r w:rsidRPr="00ED6AC3">
        <w:rPr>
          <w:noProof/>
          <w:lang w:val="pt-BR"/>
        </w:rPr>
        <mc:AlternateContent>
          <mc:Choice Requires="wps">
            <w:drawing>
              <wp:inline distT="0" distB="0" distL="0" distR="0" wp14:anchorId="737A49D5" wp14:editId="1CAB4279">
                <wp:extent cx="5605272" cy="4352925"/>
                <wp:effectExtent l="0" t="0" r="0" b="9525"/>
                <wp:docPr id="3" name="Text Box 3"/>
                <wp:cNvGraphicFramePr/>
                <a:graphic xmlns:a="http://schemas.openxmlformats.org/drawingml/2006/main">
                  <a:graphicData uri="http://schemas.microsoft.com/office/word/2010/wordprocessingShape">
                    <wps:wsp>
                      <wps:cNvSpPr txBox="1"/>
                      <wps:spPr>
                        <a:xfrm>
                          <a:off x="0" y="0"/>
                          <a:ext cx="5605272" cy="4352925"/>
                        </a:xfrm>
                        <a:prstGeom prst="rect">
                          <a:avLst/>
                        </a:prstGeom>
                        <a:solidFill>
                          <a:schemeClr val="accent4">
                            <a:lumMod val="20000"/>
                            <a:lumOff val="80000"/>
                          </a:schemeClr>
                        </a:solidFill>
                        <a:ln w="6350">
                          <a:noFill/>
                        </a:ln>
                      </wps:spPr>
                      <wps:txbx>
                        <w:txbxContent>
                          <w:p w14:paraId="5E4FDA9F" w14:textId="77777777" w:rsidR="00037028" w:rsidRPr="00267629" w:rsidRDefault="00037028" w:rsidP="00037028">
                            <w:pPr>
                              <w:rPr>
                                <w:b/>
                                <w:bCs/>
                                <w:color w:val="4EB3B9" w:themeColor="accent4"/>
                                <w:sz w:val="28"/>
                                <w:szCs w:val="28"/>
                                <w:lang w:val="pt-PT"/>
                              </w:rPr>
                            </w:pPr>
                            <w:r w:rsidRPr="00267629">
                              <w:rPr>
                                <w:b/>
                                <w:bCs/>
                                <w:color w:val="4EB3B9" w:themeColor="accent4"/>
                                <w:sz w:val="28"/>
                                <w:szCs w:val="28"/>
                                <w:lang w:val="es-ES" w:bidi="pt-PT"/>
                              </w:rPr>
                              <w:t xml:space="preserve">Indonésia: abordagem por vários eventos </w:t>
                            </w:r>
                            <w:r w:rsidRPr="00267629">
                              <w:rPr>
                                <w:b/>
                                <w:bCs/>
                                <w:i/>
                                <w:color w:val="4EB3B9" w:themeColor="accent4"/>
                                <w:sz w:val="28"/>
                                <w:szCs w:val="28"/>
                                <w:lang w:val="es-ES" w:bidi="pt-PT"/>
                              </w:rPr>
                              <w:t>online</w:t>
                            </w:r>
                          </w:p>
                          <w:p w14:paraId="3882ED2A"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elevado grau de inclusão de partes interessadas, envolvendo cinquenta participantes;</w:t>
                            </w:r>
                          </w:p>
                          <w:p w14:paraId="11D13136"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o processo de consulta foi apoiado pela Parceria da Água da Indonésia (InaWP);</w:t>
                            </w:r>
                          </w:p>
                          <w:p w14:paraId="2159AD00"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os participantes enviaram as suas pontuações usando um formulário do Google Forms antes dos workshops, as quais foram consolidadas pela InaWP (ferramenta online do Inquérito sobre a GIRH já disponível, ver o Anexo 1);</w:t>
                            </w:r>
                          </w:p>
                          <w:p w14:paraId="084E9E50" w14:textId="77777777" w:rsidR="00037028" w:rsidRPr="00267629" w:rsidRDefault="00037028" w:rsidP="00037028">
                            <w:pPr>
                              <w:numPr>
                                <w:ilvl w:val="0"/>
                                <w:numId w:val="11"/>
                              </w:numPr>
                              <w:jc w:val="both"/>
                              <w:rPr>
                                <w:b/>
                                <w:bCs/>
                                <w:color w:val="44546A" w:themeColor="text2"/>
                                <w:lang w:val="es-ES"/>
                              </w:rPr>
                            </w:pPr>
                            <w:r w:rsidRPr="00267629">
                              <w:rPr>
                                <w:color w:val="44546A" w:themeColor="text2"/>
                                <w:lang w:val="es-ES"/>
                              </w:rPr>
                              <w:t>A InaWP realizou discussões individuais com as partes interessadas, seguidas de dois workshops online, um para as partes interessadas nacionais e outro para as partes interessadas à escala da bacia.</w:t>
                            </w:r>
                          </w:p>
                          <w:p w14:paraId="4B1C1736" w14:textId="77777777" w:rsidR="00037028" w:rsidRPr="00267629" w:rsidRDefault="00037028" w:rsidP="00037028">
                            <w:pPr>
                              <w:ind w:left="720"/>
                              <w:rPr>
                                <w:b/>
                                <w:bCs/>
                                <w:color w:val="44546A" w:themeColor="text2"/>
                                <w:lang w:val="es-ES"/>
                              </w:rPr>
                            </w:pPr>
                          </w:p>
                          <w:p w14:paraId="0FB35CA5" w14:textId="77777777" w:rsidR="00037028" w:rsidRPr="0069679F" w:rsidRDefault="00037028" w:rsidP="00037028">
                            <w:pPr>
                              <w:rPr>
                                <w:b/>
                                <w:bCs/>
                                <w:color w:val="44546A" w:themeColor="text2"/>
                              </w:rPr>
                            </w:pPr>
                            <w:r w:rsidRPr="00267629">
                              <w:rPr>
                                <w:b/>
                                <w:bCs/>
                                <w:color w:val="4EB3B9" w:themeColor="accent4"/>
                                <w:sz w:val="28"/>
                                <w:szCs w:val="28"/>
                              </w:rPr>
                              <w:t>Guatemala: abordagem por workshop online (2 dias)</w:t>
                            </w:r>
                          </w:p>
                          <w:p w14:paraId="6EF5DA3D"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a maior diversidade setorial dos quatro casos, envolvendo 68 participantes;</w:t>
                            </w:r>
                          </w:p>
                          <w:p w14:paraId="68C24E1E"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participantes familiarizados com o inquérito antes do workshop online por meio da troca de correio eletrónico;</w:t>
                            </w:r>
                          </w:p>
                          <w:p w14:paraId="013BCDC3"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foi realizado um workshop online durante 2 dias, no qual os participantes começaram por discutir o inquérito em pormenor, depois preencheram as pontuações para cada secção em grupos e validaram os resultados no segundo dia;</w:t>
                            </w:r>
                          </w:p>
                          <w:p w14:paraId="6E5164CA" w14:textId="77777777" w:rsidR="00037028" w:rsidRDefault="00037028" w:rsidP="00037028">
                            <w:pPr>
                              <w:numPr>
                                <w:ilvl w:val="0"/>
                                <w:numId w:val="11"/>
                              </w:numPr>
                              <w:jc w:val="both"/>
                              <w:rPr>
                                <w:color w:val="44546A" w:themeColor="text2"/>
                                <w:lang w:val="es-ES"/>
                              </w:rPr>
                            </w:pPr>
                            <w:r w:rsidRPr="00267629">
                              <w:rPr>
                                <w:color w:val="44546A" w:themeColor="text2"/>
                                <w:lang w:val="es-ES"/>
                              </w:rPr>
                              <w:t>foi organizada uma sessão de comentários para compreender e resolver as diferenças.</w:t>
                            </w:r>
                          </w:p>
                          <w:p w14:paraId="43948701" w14:textId="77777777" w:rsidR="00037028" w:rsidRPr="00267629" w:rsidRDefault="00037028" w:rsidP="00037028">
                            <w:pPr>
                              <w:ind w:left="720"/>
                              <w:jc w:val="both"/>
                              <w:rPr>
                                <w:color w:val="44546A" w:themeColor="text2"/>
                                <w:lang w:val="es-ES"/>
                              </w:rPr>
                            </w:pPr>
                          </w:p>
                          <w:p w14:paraId="4EF5B5D0" w14:textId="77777777" w:rsidR="00037028" w:rsidRPr="00267629" w:rsidRDefault="00037028" w:rsidP="00037028">
                            <w:pPr>
                              <w:rPr>
                                <w:lang w:val="es-ES"/>
                              </w:rPr>
                            </w:pPr>
                          </w:p>
                        </w:txbxContent>
                      </wps:txbx>
                      <wps:bodyPr rot="0" spcFirstLastPara="0" vertOverflow="overflow" horzOverflow="overflow" vert="horz" wrap="square" lIns="144000" tIns="108000" rIns="144000" bIns="144000" numCol="1" spcCol="0" rtlCol="0" fromWordArt="0" anchor="ctr" anchorCtr="0" forceAA="0" compatLnSpc="1">
                        <a:prstTxWarp prst="textNoShape">
                          <a:avLst/>
                        </a:prstTxWarp>
                        <a:noAutofit/>
                      </wps:bodyPr>
                    </wps:wsp>
                  </a:graphicData>
                </a:graphic>
              </wp:inline>
            </w:drawing>
          </mc:Choice>
          <mc:Fallback>
            <w:pict>
              <v:shapetype w14:anchorId="737A49D5" id="_x0000_t202" coordsize="21600,21600" o:spt="202" path="m,l,21600r21600,l21600,xe">
                <v:stroke joinstyle="miter"/>
                <v:path gradientshapeok="t" o:connecttype="rect"/>
              </v:shapetype>
              <v:shape id="Text Box 3" o:spid="_x0000_s1026" type="#_x0000_t202" style="width:441.35pt;height:342.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" fillcolor="#dbeff1 [663]" stroked="f" strokeweight=".5pt">
                <v:textbox inset="4mm,3mm,4mm,4mm">
                  <w:txbxContent>
                    <w:p w14:paraId="5E4FDA9F" w14:textId="77777777" w:rsidR="00037028" w:rsidRPr="00267629" w:rsidRDefault="00037028" w:rsidP="00037028">
                      <w:pPr>
                        <w:rPr>
                          <w:b/>
                          <w:bCs/>
                          <w:color w:val="4EB3B9" w:themeColor="accent4"/>
                          <w:sz w:val="28"/>
                          <w:szCs w:val="28"/>
                          <w:lang w:val="pt-PT"/>
                        </w:rPr>
                      </w:pPr>
                      <w:r w:rsidRPr="00267629">
                        <w:rPr>
                          <w:b/>
                          <w:bCs/>
                          <w:color w:val="4EB3B9" w:themeColor="accent4"/>
                          <w:sz w:val="28"/>
                          <w:szCs w:val="28"/>
                          <w:lang w:val="es-ES" w:bidi="pt-PT"/>
                        </w:rPr>
                        <w:t xml:space="preserve">Indonésia: abordagem por vários eventos </w:t>
                      </w:r>
                      <w:r w:rsidRPr="00267629">
                        <w:rPr>
                          <w:b/>
                          <w:bCs/>
                          <w:i/>
                          <w:color w:val="4EB3B9" w:themeColor="accent4"/>
                          <w:sz w:val="28"/>
                          <w:szCs w:val="28"/>
                          <w:lang w:val="es-ES" w:bidi="pt-PT"/>
                        </w:rPr>
                        <w:t>online</w:t>
                      </w:r>
                    </w:p>
                    <w:p w14:paraId="3882ED2A"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elevado grau de inclusão de partes interessadas, envolvendo cinquenta participantes;</w:t>
                      </w:r>
                    </w:p>
                    <w:p w14:paraId="11D13136"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o processo de consulta foi apoiado pela Parceria da Água da Indonésia (InaWP);</w:t>
                      </w:r>
                    </w:p>
                    <w:p w14:paraId="2159AD00"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os participantes enviaram as suas pontuações usando um formulário do Google Forms antes dos workshops, as quais foram consolidadas pela InaWP (ferramenta online do Inquérito sobre a GIRH já disponível, ver o Anexo 1);</w:t>
                      </w:r>
                    </w:p>
                    <w:p w14:paraId="084E9E50" w14:textId="77777777" w:rsidR="00037028" w:rsidRPr="00267629" w:rsidRDefault="00037028" w:rsidP="00037028">
                      <w:pPr>
                        <w:numPr>
                          <w:ilvl w:val="0"/>
                          <w:numId w:val="11"/>
                        </w:numPr>
                        <w:jc w:val="both"/>
                        <w:rPr>
                          <w:b/>
                          <w:bCs/>
                          <w:color w:val="44546A" w:themeColor="text2"/>
                          <w:lang w:val="es-ES"/>
                        </w:rPr>
                      </w:pPr>
                      <w:r w:rsidRPr="00267629">
                        <w:rPr>
                          <w:color w:val="44546A" w:themeColor="text2"/>
                          <w:lang w:val="es-ES"/>
                        </w:rPr>
                        <w:t>A InaWP realizou discussões individuais com as partes interessadas, seguidas de dois workshops online, um para as partes interessadas nacionais e outro para as partes interessadas à escala da bacia.</w:t>
                      </w:r>
                    </w:p>
                    <w:p w14:paraId="4B1C1736" w14:textId="77777777" w:rsidR="00037028" w:rsidRPr="00267629" w:rsidRDefault="00037028" w:rsidP="00037028">
                      <w:pPr>
                        <w:ind w:left="720"/>
                        <w:rPr>
                          <w:b/>
                          <w:bCs/>
                          <w:color w:val="44546A" w:themeColor="text2"/>
                          <w:lang w:val="es-ES"/>
                        </w:rPr>
                      </w:pPr>
                    </w:p>
                    <w:p w14:paraId="0FB35CA5" w14:textId="77777777" w:rsidR="00037028" w:rsidRPr="0069679F" w:rsidRDefault="00037028" w:rsidP="00037028">
                      <w:pPr>
                        <w:rPr>
                          <w:b/>
                          <w:bCs/>
                          <w:color w:val="44546A" w:themeColor="text2"/>
                        </w:rPr>
                      </w:pPr>
                      <w:r w:rsidRPr="00267629">
                        <w:rPr>
                          <w:b/>
                          <w:bCs/>
                          <w:color w:val="4EB3B9" w:themeColor="accent4"/>
                          <w:sz w:val="28"/>
                          <w:szCs w:val="28"/>
                        </w:rPr>
                        <w:t>Guatemala: abordagem por workshop online (2 dias)</w:t>
                      </w:r>
                    </w:p>
                    <w:p w14:paraId="6EF5DA3D"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a maior diversidade setorial dos quatro casos, envolvendo 68 participantes;</w:t>
                      </w:r>
                    </w:p>
                    <w:p w14:paraId="68C24E1E"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participantes familiarizados com o inquérito antes do workshop online por meio da troca de correio eletrónico;</w:t>
                      </w:r>
                    </w:p>
                    <w:p w14:paraId="013BCDC3" w14:textId="77777777" w:rsidR="00037028" w:rsidRPr="00267629" w:rsidRDefault="00037028" w:rsidP="00037028">
                      <w:pPr>
                        <w:numPr>
                          <w:ilvl w:val="0"/>
                          <w:numId w:val="11"/>
                        </w:numPr>
                        <w:jc w:val="both"/>
                        <w:rPr>
                          <w:color w:val="44546A" w:themeColor="text2"/>
                          <w:lang w:val="es-ES"/>
                        </w:rPr>
                      </w:pPr>
                      <w:r w:rsidRPr="00267629">
                        <w:rPr>
                          <w:color w:val="44546A" w:themeColor="text2"/>
                          <w:lang w:val="es-ES"/>
                        </w:rPr>
                        <w:t>foi realizado um workshop online durante 2 dias, no qual os participantes começaram por discutir o inquérito em pormenor, depois preencheram as pontuações para cada secção em grupos e validaram os resultados no segundo dia;</w:t>
                      </w:r>
                    </w:p>
                    <w:p w14:paraId="6E5164CA" w14:textId="77777777" w:rsidR="00037028" w:rsidRDefault="00037028" w:rsidP="00037028">
                      <w:pPr>
                        <w:numPr>
                          <w:ilvl w:val="0"/>
                          <w:numId w:val="11"/>
                        </w:numPr>
                        <w:jc w:val="both"/>
                        <w:rPr>
                          <w:color w:val="44546A" w:themeColor="text2"/>
                          <w:lang w:val="es-ES"/>
                        </w:rPr>
                      </w:pPr>
                      <w:r w:rsidRPr="00267629">
                        <w:rPr>
                          <w:color w:val="44546A" w:themeColor="text2"/>
                          <w:lang w:val="es-ES"/>
                        </w:rPr>
                        <w:t>foi organizada uma sessão de comentários para compreender e resolver as diferenças.</w:t>
                      </w:r>
                    </w:p>
                    <w:p w14:paraId="43948701" w14:textId="77777777" w:rsidR="00037028" w:rsidRPr="00267629" w:rsidRDefault="00037028" w:rsidP="00037028">
                      <w:pPr>
                        <w:ind w:left="720"/>
                        <w:jc w:val="both"/>
                        <w:rPr>
                          <w:color w:val="44546A" w:themeColor="text2"/>
                          <w:lang w:val="es-ES"/>
                        </w:rPr>
                      </w:pPr>
                    </w:p>
                    <w:p w14:paraId="4EF5B5D0" w14:textId="77777777" w:rsidR="00037028" w:rsidRPr="00267629" w:rsidRDefault="00037028" w:rsidP="00037028">
                      <w:pPr>
                        <w:rPr>
                          <w:lang w:val="es-ES"/>
                        </w:rPr>
                      </w:pPr>
                    </w:p>
                  </w:txbxContent>
                </v:textbox>
                <w10:anchorlock/>
              </v:shape>
            </w:pict>
          </mc:Fallback>
        </mc:AlternateContent>
      </w:r>
    </w:p>
    <w:p w14:paraId="40889DF9" w14:textId="20D0E2A1" w:rsidR="0069679F" w:rsidRPr="00ED6AC3" w:rsidRDefault="0090455F" w:rsidP="00037028">
      <w:pPr>
        <w:spacing w:after="240"/>
        <w:rPr>
          <w:color w:val="12354E" w:themeColor="accent1" w:themeShade="BF"/>
          <w:lang w:val="pt-BR"/>
        </w:rPr>
      </w:pPr>
      <w:r w:rsidRPr="00ED6AC3">
        <w:rPr>
          <w:noProof/>
          <w:lang w:val="pt-BR"/>
        </w:rPr>
        <w:lastRenderedPageBreak/>
        <mc:AlternateContent>
          <mc:Choice Requires="wps">
            <w:drawing>
              <wp:inline distT="0" distB="0" distL="0" distR="0" wp14:anchorId="4735DE90" wp14:editId="42AAF1C2">
                <wp:extent cx="5605272" cy="4076700"/>
                <wp:effectExtent l="0" t="0" r="0" b="0"/>
                <wp:docPr id="8" name="Text Box 8"/>
                <wp:cNvGraphicFramePr/>
                <a:graphic xmlns:a="http://schemas.openxmlformats.org/drawingml/2006/main">
                  <a:graphicData uri="http://schemas.microsoft.com/office/word/2010/wordprocessingShape">
                    <wps:wsp>
                      <wps:cNvSpPr txBox="1"/>
                      <wps:spPr>
                        <a:xfrm>
                          <a:off x="0" y="0"/>
                          <a:ext cx="5605272" cy="4076700"/>
                        </a:xfrm>
                        <a:prstGeom prst="rect">
                          <a:avLst/>
                        </a:prstGeom>
                        <a:solidFill>
                          <a:schemeClr val="accent4">
                            <a:lumMod val="20000"/>
                            <a:lumOff val="80000"/>
                          </a:schemeClr>
                        </a:solidFill>
                        <a:ln w="6350">
                          <a:noFill/>
                        </a:ln>
                      </wps:spPr>
                      <wps:txbx>
                        <w:txbxContent>
                          <w:p w14:paraId="66A26B35" w14:textId="77777777" w:rsidR="00267629" w:rsidRPr="0090455F" w:rsidRDefault="00267629" w:rsidP="00267629">
                            <w:pPr>
                              <w:rPr>
                                <w:b/>
                                <w:bCs/>
                                <w:color w:val="4EB3B9" w:themeColor="accent4"/>
                                <w:sz w:val="28"/>
                                <w:szCs w:val="28"/>
                              </w:rPr>
                            </w:pPr>
                            <w:r w:rsidRPr="00267629">
                              <w:rPr>
                                <w:b/>
                                <w:bCs/>
                                <w:color w:val="4EB3B9" w:themeColor="accent4"/>
                                <w:sz w:val="28"/>
                                <w:szCs w:val="28"/>
                              </w:rPr>
                              <w:t>Zâmbia: abordagem por workshop presencial (2 dias)</w:t>
                            </w:r>
                          </w:p>
                          <w:p w14:paraId="7FF7C3B7"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menor inclusão de partes interessadas, envolvendo 35 participantes, devido às restrições da covid-19;</w:t>
                            </w:r>
                          </w:p>
                          <w:p w14:paraId="5F1C4029"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foram organizados debates em pequenos grupos, discutindo todas as secções de uma só vez e chegando a um consenso sobre as pontuações após a apresentação de cada grupo;</w:t>
                            </w:r>
                          </w:p>
                          <w:p w14:paraId="59D64853"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os anexos foram discutidos durante a sessão de comentários;</w:t>
                            </w:r>
                          </w:p>
                          <w:p w14:paraId="0CA1736B"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os participantes que não puderam estar presentes no workshop presencial enviaram os seus contributos ao ponto focal por correio eletrónico.</w:t>
                            </w:r>
                          </w:p>
                          <w:p w14:paraId="28D58C7D" w14:textId="77777777" w:rsidR="00267629" w:rsidRPr="00267629" w:rsidRDefault="00267629" w:rsidP="00267629">
                            <w:pPr>
                              <w:rPr>
                                <w:b/>
                                <w:bCs/>
                                <w:color w:val="4EB3B9" w:themeColor="accent4"/>
                                <w:sz w:val="28"/>
                                <w:szCs w:val="28"/>
                                <w:lang w:val="es-ES"/>
                              </w:rPr>
                            </w:pPr>
                          </w:p>
                          <w:p w14:paraId="237B6F3A" w14:textId="77777777" w:rsidR="00267629" w:rsidRPr="00267629" w:rsidRDefault="00267629" w:rsidP="00267629">
                            <w:pPr>
                              <w:rPr>
                                <w:b/>
                                <w:bCs/>
                                <w:color w:val="4EB3B9" w:themeColor="accent4"/>
                                <w:sz w:val="28"/>
                                <w:szCs w:val="28"/>
                                <w:lang w:val="es-ES"/>
                              </w:rPr>
                            </w:pPr>
                            <w:r w:rsidRPr="00267629">
                              <w:rPr>
                                <w:b/>
                                <w:bCs/>
                                <w:color w:val="4EB3B9" w:themeColor="accent4"/>
                                <w:sz w:val="28"/>
                                <w:szCs w:val="28"/>
                                <w:lang w:val="es-ES"/>
                              </w:rPr>
                              <w:t>Geórgia: abordagem por workshop misto (formato de workshop presencial de um dia combinado com contributos prévios online dos participantes)</w:t>
                            </w:r>
                          </w:p>
                          <w:p w14:paraId="5166D96A"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menor inclusão de partes interessadas para o workshop (26 participantes);</w:t>
                            </w:r>
                          </w:p>
                          <w:p w14:paraId="71AF8D13"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versão preliminar do inquérito distribuída pelo Ponto Focal antes do workshop, tal como todas as informações contextuais relevantes;</w:t>
                            </w:r>
                          </w:p>
                          <w:p w14:paraId="76C3FC5F"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a agenda tinha um horário específico para a concordância conjunta sobre as pontuações, pelo que as decisões sobre a pontuação final foram tomadas coletivamente por consenso.</w:t>
                            </w:r>
                          </w:p>
                          <w:p w14:paraId="3D973DE9" w14:textId="77777777" w:rsidR="0090455F" w:rsidRPr="00267629" w:rsidRDefault="0090455F" w:rsidP="0090455F">
                            <w:pPr>
                              <w:rPr>
                                <w:lang w:val="es-ES"/>
                              </w:rPr>
                            </w:pPr>
                          </w:p>
                        </w:txbxContent>
                      </wps:txbx>
                      <wps:bodyPr rot="0" spcFirstLastPara="0" vertOverflow="overflow" horzOverflow="overflow" vert="horz" wrap="square" lIns="144000" tIns="108000" rIns="144000" bIns="144000" numCol="1" spcCol="0" rtlCol="0" fromWordArt="0" anchor="ctr" anchorCtr="0" forceAA="0" compatLnSpc="1">
                        <a:prstTxWarp prst="textNoShape">
                          <a:avLst/>
                        </a:prstTxWarp>
                        <a:noAutofit/>
                      </wps:bodyPr>
                    </wps:wsp>
                  </a:graphicData>
                </a:graphic>
              </wp:inline>
            </w:drawing>
          </mc:Choice>
          <mc:Fallback>
            <w:pict>
              <v:shape w14:anchorId="4735DE90" id="Text Box 8" o:spid="_x0000_s1027" type="#_x0000_t202" style="width:441.35pt;height:3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" fillcolor="#dbeff1 [663]" stroked="f" strokeweight=".5pt">
                <v:textbox inset="4mm,3mm,4mm,4mm">
                  <w:txbxContent>
                    <w:p w14:paraId="66A26B35" w14:textId="77777777" w:rsidR="00267629" w:rsidRPr="0090455F" w:rsidRDefault="00267629" w:rsidP="00267629">
                      <w:pPr>
                        <w:rPr>
                          <w:b/>
                          <w:bCs/>
                          <w:color w:val="4EB3B9" w:themeColor="accent4"/>
                          <w:sz w:val="28"/>
                          <w:szCs w:val="28"/>
                        </w:rPr>
                      </w:pPr>
                      <w:r w:rsidRPr="00267629">
                        <w:rPr>
                          <w:b/>
                          <w:bCs/>
                          <w:color w:val="4EB3B9" w:themeColor="accent4"/>
                          <w:sz w:val="28"/>
                          <w:szCs w:val="28"/>
                        </w:rPr>
                        <w:t>Zâmbia: abordagem por workshop presencial (2 dias)</w:t>
                      </w:r>
                    </w:p>
                    <w:p w14:paraId="7FF7C3B7"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menor inclusão de partes interessadas, envolvendo 35 participantes, devido às restrições da covid-19;</w:t>
                      </w:r>
                    </w:p>
                    <w:p w14:paraId="5F1C4029"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foram organizados debates em pequenos grupos, discutindo todas as secções de uma só vez e chegando a um consenso sobre as pontuações após a apresentação de cada grupo;</w:t>
                      </w:r>
                    </w:p>
                    <w:p w14:paraId="59D64853"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os anexos foram discutidos durante a sessão de comentários;</w:t>
                      </w:r>
                    </w:p>
                    <w:p w14:paraId="0CA1736B"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os participantes que não puderam estar presentes no workshop presencial enviaram os seus contributos ao ponto focal por correio eletrónico.</w:t>
                      </w:r>
                    </w:p>
                    <w:p w14:paraId="28D58C7D" w14:textId="77777777" w:rsidR="00267629" w:rsidRPr="00267629" w:rsidRDefault="00267629" w:rsidP="00267629">
                      <w:pPr>
                        <w:rPr>
                          <w:b/>
                          <w:bCs/>
                          <w:color w:val="4EB3B9" w:themeColor="accent4"/>
                          <w:sz w:val="28"/>
                          <w:szCs w:val="28"/>
                          <w:lang w:val="es-ES"/>
                        </w:rPr>
                      </w:pPr>
                    </w:p>
                    <w:p w14:paraId="237B6F3A" w14:textId="77777777" w:rsidR="00267629" w:rsidRPr="00267629" w:rsidRDefault="00267629" w:rsidP="00267629">
                      <w:pPr>
                        <w:rPr>
                          <w:b/>
                          <w:bCs/>
                          <w:color w:val="4EB3B9" w:themeColor="accent4"/>
                          <w:sz w:val="28"/>
                          <w:szCs w:val="28"/>
                          <w:lang w:val="es-ES"/>
                        </w:rPr>
                      </w:pPr>
                      <w:r w:rsidRPr="00267629">
                        <w:rPr>
                          <w:b/>
                          <w:bCs/>
                          <w:color w:val="4EB3B9" w:themeColor="accent4"/>
                          <w:sz w:val="28"/>
                          <w:szCs w:val="28"/>
                          <w:lang w:val="es-ES"/>
                        </w:rPr>
                        <w:t>Geórgia: abordagem por workshop misto (formato de workshop presencial de um dia combinado com contributos prévios online dos participantes)</w:t>
                      </w:r>
                    </w:p>
                    <w:p w14:paraId="5166D96A"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menor inclusão de partes interessadas para o workshop (26 participantes);</w:t>
                      </w:r>
                    </w:p>
                    <w:p w14:paraId="71AF8D13"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versão preliminar do inquérito distribuída pelo Ponto Focal antes do workshop, tal como todas as informações contextuais relevantes;</w:t>
                      </w:r>
                    </w:p>
                    <w:p w14:paraId="76C3FC5F" w14:textId="77777777" w:rsidR="00267629" w:rsidRPr="00267629" w:rsidRDefault="00267629" w:rsidP="00267629">
                      <w:pPr>
                        <w:numPr>
                          <w:ilvl w:val="0"/>
                          <w:numId w:val="11"/>
                        </w:numPr>
                        <w:rPr>
                          <w:color w:val="44546A" w:themeColor="text2"/>
                          <w:lang w:val="es-ES"/>
                        </w:rPr>
                      </w:pPr>
                      <w:r w:rsidRPr="00267629">
                        <w:rPr>
                          <w:color w:val="44546A" w:themeColor="text2"/>
                          <w:lang w:val="es-ES"/>
                        </w:rPr>
                        <w:t>a agenda tinha um horário específico para a concordância conjunta sobre as pontuações, pelo que as decisões sobre a pontuação final foram tomadas coletivamente por consenso.</w:t>
                      </w:r>
                    </w:p>
                    <w:p w14:paraId="3D973DE9" w14:textId="77777777" w:rsidR="0090455F" w:rsidRPr="00267629" w:rsidRDefault="0090455F" w:rsidP="0090455F">
                      <w:pPr>
                        <w:rPr>
                          <w:lang w:val="es-ES"/>
                        </w:rPr>
                      </w:pPr>
                    </w:p>
                  </w:txbxContent>
                </v:textbox>
                <w10:anchorlock/>
              </v:shape>
            </w:pict>
          </mc:Fallback>
        </mc:AlternateContent>
      </w:r>
      <w:r w:rsidR="00267629" w:rsidRPr="00ED6AC3">
        <w:rPr>
          <w:rFonts w:eastAsiaTheme="minorEastAsia"/>
          <w:i/>
          <w:iCs/>
          <w:color w:val="12354E" w:themeColor="accent1" w:themeShade="BF"/>
          <w:sz w:val="20"/>
          <w:szCs w:val="20"/>
          <w:lang w:val="pt-BR" w:bidi="pt-PT"/>
        </w:rPr>
        <w:t>Caixa 1: Exemplos de consultas a partes interessadas em vários países em 2020</w:t>
      </w:r>
      <w:r w:rsidR="00267629" w:rsidRPr="00ED6AC3">
        <w:rPr>
          <w:rFonts w:eastAsiaTheme="minorEastAsia"/>
          <w:i/>
          <w:iCs/>
          <w:color w:val="12354E" w:themeColor="accent1" w:themeShade="BF"/>
          <w:sz w:val="20"/>
          <w:szCs w:val="20"/>
          <w:vertAlign w:val="superscript"/>
          <w:lang w:val="pt-BR" w:bidi="pt-PT"/>
        </w:rPr>
        <w:footnoteReference w:id="6"/>
      </w:r>
    </w:p>
    <w:p w14:paraId="7D392C9F" w14:textId="16A51F39" w:rsidR="008E2EB5" w:rsidRPr="00ED6AC3" w:rsidRDefault="00267629" w:rsidP="00267629">
      <w:pPr>
        <w:pStyle w:val="ListParagraph"/>
        <w:numPr>
          <w:ilvl w:val="1"/>
          <w:numId w:val="3"/>
        </w:numPr>
        <w:rPr>
          <w:b/>
          <w:bCs/>
          <w:color w:val="20A6CA" w:themeColor="accent2"/>
          <w:sz w:val="36"/>
          <w:szCs w:val="36"/>
          <w:lang w:val="pt-BR"/>
        </w:rPr>
      </w:pPr>
      <w:r w:rsidRPr="00ED6AC3">
        <w:rPr>
          <w:b/>
          <w:bCs/>
          <w:color w:val="20A6CA" w:themeColor="accent2"/>
          <w:sz w:val="36"/>
          <w:szCs w:val="36"/>
          <w:lang w:val="pt-BR"/>
        </w:rPr>
        <w:t>Entrega</w:t>
      </w:r>
    </w:p>
    <w:p w14:paraId="4B5FBD51" w14:textId="4ACAEDC5" w:rsidR="001762A5" w:rsidRPr="00ED6AC3" w:rsidRDefault="001762A5" w:rsidP="00267629">
      <w:pPr>
        <w:pStyle w:val="Body"/>
        <w:jc w:val="both"/>
        <w:rPr>
          <w:lang w:val="pt-BR" w:bidi="pt-PT"/>
        </w:rPr>
      </w:pPr>
      <w:r w:rsidRPr="00ED6AC3">
        <w:rPr>
          <w:lang w:val="pt-BR" w:bidi="pt-PT"/>
        </w:rPr>
        <w:t xml:space="preserve">O Ponto Focal do ODS 6.5.1 é responsável pela entrega do inquérito. A secção 6 do </w:t>
      </w:r>
      <w:hyperlink r:id="rId51" w:history="1">
        <w:r w:rsidRPr="00ED6AC3">
          <w:rPr>
            <w:rStyle w:val="Hyperlink"/>
            <w:color w:val="92D050"/>
            <w:lang w:val="pt-BR" w:bidi="pt-PT"/>
          </w:rPr>
          <w:t>Guia de Monitorização do Indicador 6.5.1 dos ODS</w:t>
        </w:r>
      </w:hyperlink>
      <w:r w:rsidRPr="00ED6AC3">
        <w:rPr>
          <w:lang w:val="pt-BR" w:bidi="pt-PT"/>
        </w:rPr>
        <w:t xml:space="preserve"> contém pormenores sobre o processo de entrega.</w:t>
      </w:r>
    </w:p>
    <w:p w14:paraId="7A9E4246" w14:textId="1173E193" w:rsidR="008E2EB5" w:rsidRPr="00ED6AC3" w:rsidRDefault="00267629" w:rsidP="00267629">
      <w:pPr>
        <w:pStyle w:val="Body"/>
        <w:jc w:val="both"/>
        <w:rPr>
          <w:color w:val="EC531E" w:themeColor="accent6" w:themeShade="BF"/>
          <w:lang w:val="pt-BR"/>
        </w:rPr>
      </w:pPr>
      <w:r w:rsidRPr="00ED6AC3">
        <w:rPr>
          <w:color w:val="EC531E" w:themeColor="accent6" w:themeShade="BF"/>
          <w:lang w:val="pt-BR" w:bidi="pt-PT"/>
        </w:rPr>
        <w:t xml:space="preserve">Para países apoiados diretamente pelo Programa de Apoio à GIRH do ODS 6, também deve ser enviado pelo facilitador um Relatório de Consulta às Partes Interessadas para </w:t>
      </w:r>
      <w:hyperlink r:id="rId52">
        <w:r w:rsidRPr="00ED6AC3">
          <w:rPr>
            <w:rStyle w:val="Hyperlink"/>
            <w:color w:val="92D050"/>
            <w:lang w:val="pt-BR" w:bidi="pt-PT"/>
          </w:rPr>
          <w:t>sdg6iwrmsp@gwp.org</w:t>
        </w:r>
      </w:hyperlink>
      <w:r w:rsidRPr="00ED6AC3">
        <w:rPr>
          <w:color w:val="EC531E" w:themeColor="accent6" w:themeShade="BF"/>
          <w:lang w:val="pt-BR" w:bidi="pt-PT"/>
        </w:rPr>
        <w:t xml:space="preserve"> (ver o </w:t>
      </w:r>
      <w:hyperlink r:id="rId53" w:history="1">
        <w:r w:rsidRPr="00ED6AC3">
          <w:rPr>
            <w:rStyle w:val="Hyperlink"/>
            <w:i/>
            <w:color w:val="92D050"/>
            <w:lang w:val="pt-BR" w:bidi="pt-PT"/>
          </w:rPr>
          <w:t>Anexo 3</w:t>
        </w:r>
      </w:hyperlink>
      <w:r w:rsidRPr="00ED6AC3">
        <w:rPr>
          <w:color w:val="EC531E" w:themeColor="accent6" w:themeShade="BF"/>
          <w:lang w:val="pt-BR" w:bidi="pt-PT"/>
        </w:rPr>
        <w:t>).</w:t>
      </w:r>
      <w:r w:rsidR="008E2EB5" w:rsidRPr="00ED6AC3">
        <w:rPr>
          <w:color w:val="EC531E" w:themeColor="accent6" w:themeShade="BF"/>
          <w:lang w:val="pt-BR"/>
        </w:rPr>
        <w:t> </w:t>
      </w:r>
    </w:p>
    <w:p w14:paraId="38378097" w14:textId="47FBAEE5" w:rsidR="00D57092" w:rsidRPr="00ED6AC3" w:rsidRDefault="001762A5" w:rsidP="001762A5">
      <w:pPr>
        <w:pStyle w:val="ListParagraph"/>
        <w:numPr>
          <w:ilvl w:val="1"/>
          <w:numId w:val="3"/>
        </w:numPr>
        <w:rPr>
          <w:b/>
          <w:bCs/>
          <w:color w:val="20A6CA" w:themeColor="accent2"/>
          <w:sz w:val="36"/>
          <w:szCs w:val="36"/>
          <w:lang w:val="pt-BR"/>
        </w:rPr>
      </w:pPr>
      <w:r w:rsidRPr="00ED6AC3">
        <w:rPr>
          <w:b/>
          <w:bCs/>
          <w:color w:val="20A6CA" w:themeColor="accent2"/>
          <w:sz w:val="36"/>
          <w:szCs w:val="36"/>
          <w:lang w:val="pt-BR"/>
        </w:rPr>
        <w:t>Seguimento</w:t>
      </w:r>
    </w:p>
    <w:p w14:paraId="5945A44F" w14:textId="69BB3830" w:rsidR="00D57092" w:rsidRPr="00ED6AC3" w:rsidRDefault="001762A5" w:rsidP="00D57092">
      <w:pPr>
        <w:pStyle w:val="Body"/>
        <w:jc w:val="both"/>
        <w:rPr>
          <w:lang w:val="pt-BR"/>
        </w:rPr>
      </w:pPr>
      <w:r w:rsidRPr="00ED6AC3">
        <w:rPr>
          <w:rFonts w:ascii="Calibri" w:hAnsi="Calibri" w:cs="Calibri"/>
          <w:lang w:val="pt-BR"/>
        </w:rPr>
        <w:t xml:space="preserve">O Ponto Focal do ODS 6.5.1 e outras partes interessadas relevantes podem usar o processo e os seus resultados para identificar oportunidades a fim de avançar na GIRH conforme sugerido na secção 7 do </w:t>
      </w:r>
      <w:hyperlink r:id="rId54" w:history="1">
        <w:r w:rsidRPr="00ED6AC3">
          <w:rPr>
            <w:rStyle w:val="Hyperlink"/>
            <w:rFonts w:ascii="Calibri" w:hAnsi="Calibri" w:cs="Calibri"/>
            <w:lang w:val="pt-BR"/>
          </w:rPr>
          <w:t>Guia de Monitorização do Indicador 6.5.1 dos ODS</w:t>
        </w:r>
      </w:hyperlink>
      <w:r w:rsidRPr="00ED6AC3">
        <w:rPr>
          <w:rFonts w:ascii="Calibri" w:hAnsi="Calibri" w:cs="Calibri"/>
          <w:lang w:val="pt-BR"/>
        </w:rPr>
        <w:t xml:space="preserve">.  </w:t>
      </w:r>
      <w:r w:rsidR="00D57092" w:rsidRPr="00ED6AC3">
        <w:rPr>
          <w:lang w:val="pt-BR"/>
        </w:rPr>
        <w:t> </w:t>
      </w:r>
    </w:p>
    <w:p w14:paraId="62D07762" w14:textId="7280E555" w:rsidR="002179BE" w:rsidRPr="00ED6AC3" w:rsidRDefault="002179BE" w:rsidP="00D57092">
      <w:pPr>
        <w:pStyle w:val="Body"/>
        <w:jc w:val="both"/>
        <w:rPr>
          <w:lang w:val="pt-BR"/>
        </w:rPr>
      </w:pPr>
    </w:p>
    <w:p w14:paraId="55EADBF3" w14:textId="2E04CCAD" w:rsidR="002179BE" w:rsidRPr="00ED6AC3" w:rsidRDefault="002179BE" w:rsidP="00D57092">
      <w:pPr>
        <w:pStyle w:val="Body"/>
        <w:jc w:val="both"/>
        <w:rPr>
          <w:lang w:val="pt-BR"/>
        </w:rPr>
      </w:pPr>
    </w:p>
    <w:p w14:paraId="092CC2B2" w14:textId="77777777" w:rsidR="002179BE" w:rsidRPr="00ED6AC3" w:rsidRDefault="002179BE" w:rsidP="00D57092">
      <w:pPr>
        <w:pStyle w:val="Body"/>
        <w:jc w:val="both"/>
        <w:rPr>
          <w:lang w:val="pt-BR"/>
        </w:rPr>
      </w:pPr>
    </w:p>
    <w:p w14:paraId="76E7199B" w14:textId="6B3FC31F" w:rsidR="0069679F" w:rsidRPr="00ED6AC3" w:rsidRDefault="001762A5" w:rsidP="0069679F">
      <w:pPr>
        <w:pStyle w:val="Heading1"/>
        <w:rPr>
          <w:lang w:val="pt-BR"/>
        </w:rPr>
      </w:pPr>
      <w:r w:rsidRPr="00ED6AC3">
        <w:rPr>
          <w:lang w:val="pt-BR"/>
        </w:rPr>
        <w:lastRenderedPageBreak/>
        <w:t>ANEXO</w:t>
      </w:r>
      <w:r w:rsidR="0069679F" w:rsidRPr="00ED6AC3">
        <w:rPr>
          <w:lang w:val="pt-BR"/>
        </w:rPr>
        <w:t>S</w:t>
      </w:r>
    </w:p>
    <w:p w14:paraId="561FB608" w14:textId="77777777" w:rsidR="001762A5" w:rsidRPr="00ED6AC3" w:rsidRDefault="001762A5" w:rsidP="001762A5">
      <w:pPr>
        <w:pStyle w:val="Body"/>
        <w:rPr>
          <w:lang w:val="pt-BR"/>
        </w:rPr>
      </w:pPr>
      <w:r w:rsidRPr="00ED6AC3">
        <w:rPr>
          <w:lang w:val="pt-BR" w:bidi="pt-PT"/>
        </w:rPr>
        <w:t>Estão disponíveis os anexos seguintes para uso futuro:</w:t>
      </w:r>
    </w:p>
    <w:tbl>
      <w:tblPr>
        <w:tblStyle w:val="GridTable1Light-Accent5"/>
        <w:tblW w:w="935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51"/>
      </w:tblGrid>
      <w:tr w:rsidR="001762A5" w:rsidRPr="00ED6AC3" w14:paraId="5AB6ABDF" w14:textId="77777777" w:rsidTr="00B26A0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tcBorders>
              <w:bottom w:val="none" w:sz="0" w:space="0" w:color="auto"/>
            </w:tcBorders>
          </w:tcPr>
          <w:p w14:paraId="19974174" w14:textId="0961FEA4" w:rsidR="001762A5" w:rsidRPr="00ED6AC3" w:rsidRDefault="00982B5B" w:rsidP="001762A5">
            <w:pPr>
              <w:pStyle w:val="Body"/>
              <w:rPr>
                <w:u w:val="single"/>
                <w:lang w:val="pt-BR"/>
              </w:rPr>
            </w:pPr>
            <w:hyperlink r:id="rId55" w:history="1">
              <w:r w:rsidR="001762A5" w:rsidRPr="00ED6AC3">
                <w:rPr>
                  <w:rStyle w:val="Hyperlink"/>
                  <w:b w:val="0"/>
                  <w:bCs w:val="0"/>
                  <w:lang w:val="pt-BR" w:bidi="pt-PT"/>
                </w:rPr>
                <w:t>Anexo 1: Ferramenta online do Inquérito sobre a GIRH</w:t>
              </w:r>
            </w:hyperlink>
          </w:p>
        </w:tc>
      </w:tr>
      <w:tr w:rsidR="001762A5" w:rsidRPr="00ED6AC3" w14:paraId="064636C6" w14:textId="77777777" w:rsidTr="00B26A0E">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2CEC74B6" w14:textId="30E42E9D" w:rsidR="001762A5" w:rsidRPr="00ED6AC3" w:rsidRDefault="00982B5B" w:rsidP="001762A5">
            <w:pPr>
              <w:pStyle w:val="Body"/>
              <w:rPr>
                <w:u w:val="single"/>
                <w:lang w:val="pt-BR"/>
              </w:rPr>
            </w:pPr>
            <w:hyperlink r:id="rId56" w:history="1">
              <w:r w:rsidR="001762A5" w:rsidRPr="00ED6AC3">
                <w:rPr>
                  <w:rStyle w:val="Hyperlink"/>
                  <w:b w:val="0"/>
                  <w:bCs w:val="0"/>
                  <w:lang w:val="pt-BR" w:bidi="pt-PT"/>
                </w:rPr>
                <w:t>Anexo 2: Exemplo de agenda de um workshop de consulta</w:t>
              </w:r>
            </w:hyperlink>
          </w:p>
        </w:tc>
      </w:tr>
      <w:tr w:rsidR="001762A5" w:rsidRPr="00ED6AC3" w14:paraId="4F8DFC7B" w14:textId="77777777" w:rsidTr="00B26A0E">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4EAFF670" w14:textId="7F9EF927" w:rsidR="001762A5" w:rsidRPr="00ED6AC3" w:rsidRDefault="00982B5B" w:rsidP="001762A5">
            <w:pPr>
              <w:pStyle w:val="Body"/>
              <w:rPr>
                <w:u w:val="single"/>
                <w:lang w:val="pt-BR"/>
              </w:rPr>
            </w:pPr>
            <w:hyperlink r:id="rId57" w:history="1">
              <w:r w:rsidR="001762A5" w:rsidRPr="00ED6AC3">
                <w:rPr>
                  <w:rStyle w:val="Hyperlink"/>
                  <w:b w:val="0"/>
                  <w:bCs w:val="0"/>
                  <w:lang w:val="pt-BR" w:bidi="pt-PT"/>
                </w:rPr>
                <w:t>Anexo 3: Modelo opcional de relatório de consulta</w:t>
              </w:r>
            </w:hyperlink>
          </w:p>
        </w:tc>
      </w:tr>
      <w:tr w:rsidR="001762A5" w:rsidRPr="00ED6AC3" w14:paraId="67954BC6" w14:textId="77777777" w:rsidTr="00B26A0E">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151BD3B4" w14:textId="78441D9C" w:rsidR="001762A5" w:rsidRPr="00ED6AC3" w:rsidRDefault="00982B5B" w:rsidP="001762A5">
            <w:pPr>
              <w:pStyle w:val="Body"/>
              <w:rPr>
                <w:u w:val="single"/>
                <w:lang w:val="pt-BR"/>
              </w:rPr>
            </w:pPr>
            <w:hyperlink r:id="rId58" w:history="1">
              <w:r w:rsidR="001762A5" w:rsidRPr="00ED6AC3">
                <w:rPr>
                  <w:rStyle w:val="Hyperlink"/>
                  <w:b w:val="0"/>
                  <w:bCs w:val="0"/>
                  <w:lang w:val="pt-BR" w:bidi="pt-PT"/>
                </w:rPr>
                <w:t>Anexo 4: Modelo de termos de referência do facilitador</w:t>
              </w:r>
            </w:hyperlink>
          </w:p>
        </w:tc>
      </w:tr>
    </w:tbl>
    <w:p w14:paraId="02D75F58" w14:textId="77777777" w:rsidR="00D57092" w:rsidRPr="00ED6AC3" w:rsidRDefault="00D57092" w:rsidP="00D57092">
      <w:pPr>
        <w:pStyle w:val="Body"/>
        <w:rPr>
          <w:lang w:val="pt-BR"/>
        </w:rPr>
      </w:pPr>
    </w:p>
    <w:sectPr w:rsidR="00D57092" w:rsidRPr="00ED6AC3" w:rsidSect="003732C1">
      <w:headerReference w:type="default" r:id="rId59"/>
      <w:footerReference w:type="default" r:id="rId60"/>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CB9698" w14:textId="77777777" w:rsidR="001F45A2" w:rsidRDefault="001F45A2" w:rsidP="009819C7">
      <w:r>
        <w:separator/>
      </w:r>
    </w:p>
  </w:endnote>
  <w:endnote w:type="continuationSeparator" w:id="0">
    <w:p w14:paraId="68556CF3" w14:textId="77777777" w:rsidR="001F45A2" w:rsidRDefault="001F45A2"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8C759E">
          <w:rPr>
            <w:noProof/>
          </w:rPr>
          <w:t>13</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BFAC39" w14:textId="77777777" w:rsidR="001F45A2" w:rsidRDefault="001F45A2" w:rsidP="009819C7">
      <w:r>
        <w:separator/>
      </w:r>
    </w:p>
  </w:footnote>
  <w:footnote w:type="continuationSeparator" w:id="0">
    <w:p w14:paraId="3C05C5E1" w14:textId="77777777" w:rsidR="001F45A2" w:rsidRDefault="001F45A2" w:rsidP="009819C7">
      <w:r>
        <w:continuationSeparator/>
      </w:r>
    </w:p>
  </w:footnote>
  <w:footnote w:id="1">
    <w:p w14:paraId="5F5E436E" w14:textId="77777777" w:rsidR="008F467A" w:rsidRPr="008F467A" w:rsidRDefault="008F467A" w:rsidP="008F467A">
      <w:pPr>
        <w:pStyle w:val="FootnoteText"/>
        <w:rPr>
          <w:color w:val="12354E" w:themeColor="accent1" w:themeShade="BF"/>
          <w:sz w:val="20"/>
          <w:lang w:val="es-ES"/>
        </w:rPr>
      </w:pPr>
      <w:r w:rsidRPr="008F467A">
        <w:rPr>
          <w:rStyle w:val="FootnoteReference"/>
          <w:color w:val="12354E" w:themeColor="accent1" w:themeShade="BF"/>
          <w:sz w:val="20"/>
          <w:lang w:bidi="pt-PT"/>
        </w:rPr>
        <w:footnoteRef/>
      </w:r>
      <w:r w:rsidRPr="008F467A">
        <w:rPr>
          <w:color w:val="12354E" w:themeColor="accent1" w:themeShade="BF"/>
          <w:sz w:val="20"/>
          <w:lang w:val="es-ES" w:bidi="pt-PT"/>
        </w:rPr>
        <w:t xml:space="preserve"> Se o Ponto Focal </w:t>
      </w:r>
      <w:proofErr w:type="spellStart"/>
      <w:r w:rsidRPr="008F467A">
        <w:rPr>
          <w:color w:val="12354E" w:themeColor="accent1" w:themeShade="BF"/>
          <w:sz w:val="20"/>
          <w:lang w:val="es-ES" w:bidi="pt-PT"/>
        </w:rPr>
        <w:t>pertencer</w:t>
      </w:r>
      <w:proofErr w:type="spellEnd"/>
      <w:r w:rsidRPr="008F467A">
        <w:rPr>
          <w:color w:val="12354E" w:themeColor="accent1" w:themeShade="BF"/>
          <w:sz w:val="20"/>
          <w:lang w:val="es-ES" w:bidi="pt-PT"/>
        </w:rPr>
        <w:t xml:space="preserve"> a </w:t>
      </w:r>
      <w:proofErr w:type="spellStart"/>
      <w:r w:rsidRPr="008F467A">
        <w:rPr>
          <w:color w:val="12354E" w:themeColor="accent1" w:themeShade="BF"/>
          <w:sz w:val="20"/>
          <w:lang w:val="es-ES" w:bidi="pt-PT"/>
        </w:rPr>
        <w:t>um</w:t>
      </w:r>
      <w:proofErr w:type="spellEnd"/>
      <w:r w:rsidRPr="008F467A">
        <w:rPr>
          <w:color w:val="12354E" w:themeColor="accent1" w:themeShade="BF"/>
          <w:sz w:val="20"/>
          <w:lang w:val="es-ES" w:bidi="pt-PT"/>
        </w:rPr>
        <w:t xml:space="preserve"> instituto </w:t>
      </w:r>
      <w:proofErr w:type="spellStart"/>
      <w:r w:rsidRPr="008F467A">
        <w:rPr>
          <w:color w:val="12354E" w:themeColor="accent1" w:themeShade="BF"/>
          <w:sz w:val="20"/>
          <w:lang w:val="es-ES" w:bidi="pt-PT"/>
        </w:rPr>
        <w:t>ou</w:t>
      </w:r>
      <w:proofErr w:type="spellEnd"/>
      <w:r w:rsidRPr="008F467A">
        <w:rPr>
          <w:color w:val="12354E" w:themeColor="accent1" w:themeShade="BF"/>
          <w:sz w:val="20"/>
          <w:lang w:val="es-ES" w:bidi="pt-PT"/>
        </w:rPr>
        <w:t xml:space="preserve"> departamento nacional de </w:t>
      </w:r>
      <w:proofErr w:type="spellStart"/>
      <w:r w:rsidRPr="008F467A">
        <w:rPr>
          <w:color w:val="12354E" w:themeColor="accent1" w:themeShade="BF"/>
          <w:sz w:val="20"/>
          <w:lang w:val="es-ES" w:bidi="pt-PT"/>
        </w:rPr>
        <w:t>estatística</w:t>
      </w:r>
      <w:proofErr w:type="spellEnd"/>
      <w:r w:rsidRPr="008F467A">
        <w:rPr>
          <w:color w:val="12354E" w:themeColor="accent1" w:themeShade="BF"/>
          <w:sz w:val="20"/>
          <w:lang w:val="es-ES" w:bidi="pt-PT"/>
        </w:rPr>
        <w:t xml:space="preserve">, </w:t>
      </w:r>
      <w:proofErr w:type="spellStart"/>
      <w:r w:rsidRPr="008F467A">
        <w:rPr>
          <w:color w:val="12354E" w:themeColor="accent1" w:themeShade="BF"/>
          <w:sz w:val="20"/>
          <w:lang w:val="es-ES" w:bidi="pt-PT"/>
        </w:rPr>
        <w:t>recomenda</w:t>
      </w:r>
      <w:proofErr w:type="spellEnd"/>
      <w:r w:rsidRPr="008F467A">
        <w:rPr>
          <w:color w:val="12354E" w:themeColor="accent1" w:themeShade="BF"/>
          <w:sz w:val="20"/>
          <w:lang w:val="es-ES" w:bidi="pt-PT"/>
        </w:rPr>
        <w:t>-</w:t>
      </w:r>
      <w:proofErr w:type="spellStart"/>
      <w:r w:rsidRPr="008F467A">
        <w:rPr>
          <w:color w:val="12354E" w:themeColor="accent1" w:themeShade="BF"/>
          <w:sz w:val="20"/>
          <w:lang w:val="es-ES" w:bidi="pt-PT"/>
        </w:rPr>
        <w:t>se</w:t>
      </w:r>
      <w:proofErr w:type="spellEnd"/>
      <w:r w:rsidRPr="008F467A">
        <w:rPr>
          <w:color w:val="12354E" w:themeColor="accent1" w:themeShade="BF"/>
          <w:sz w:val="20"/>
          <w:lang w:val="es-ES" w:bidi="pt-PT"/>
        </w:rPr>
        <w:t xml:space="preserve"> que </w:t>
      </w:r>
      <w:proofErr w:type="spellStart"/>
      <w:r w:rsidRPr="008F467A">
        <w:rPr>
          <w:color w:val="12354E" w:themeColor="accent1" w:themeShade="BF"/>
          <w:sz w:val="20"/>
          <w:lang w:val="es-ES" w:bidi="pt-PT"/>
        </w:rPr>
        <w:t>estabeleça</w:t>
      </w:r>
      <w:proofErr w:type="spellEnd"/>
      <w:r w:rsidRPr="008F467A">
        <w:rPr>
          <w:color w:val="12354E" w:themeColor="accent1" w:themeShade="BF"/>
          <w:sz w:val="20"/>
          <w:lang w:val="es-ES" w:bidi="pt-PT"/>
        </w:rPr>
        <w:t xml:space="preserve"> </w:t>
      </w:r>
      <w:proofErr w:type="spellStart"/>
      <w:r w:rsidRPr="008F467A">
        <w:rPr>
          <w:color w:val="12354E" w:themeColor="accent1" w:themeShade="BF"/>
          <w:sz w:val="20"/>
          <w:lang w:val="es-ES" w:bidi="pt-PT"/>
        </w:rPr>
        <w:t>coordenação</w:t>
      </w:r>
      <w:proofErr w:type="spellEnd"/>
      <w:r w:rsidRPr="008F467A">
        <w:rPr>
          <w:color w:val="12354E" w:themeColor="accent1" w:themeShade="BF"/>
          <w:sz w:val="20"/>
          <w:lang w:val="es-ES" w:bidi="pt-PT"/>
        </w:rPr>
        <w:t xml:space="preserve"> </w:t>
      </w:r>
      <w:proofErr w:type="spellStart"/>
      <w:r w:rsidRPr="008F467A">
        <w:rPr>
          <w:color w:val="12354E" w:themeColor="accent1" w:themeShade="BF"/>
          <w:sz w:val="20"/>
          <w:lang w:val="es-ES" w:bidi="pt-PT"/>
        </w:rPr>
        <w:t>com</w:t>
      </w:r>
      <w:proofErr w:type="spellEnd"/>
      <w:r w:rsidRPr="008F467A">
        <w:rPr>
          <w:color w:val="12354E" w:themeColor="accent1" w:themeShade="BF"/>
          <w:sz w:val="20"/>
          <w:lang w:val="es-ES" w:bidi="pt-PT"/>
        </w:rPr>
        <w:t xml:space="preserve"> o </w:t>
      </w:r>
      <w:proofErr w:type="spellStart"/>
      <w:r w:rsidRPr="008F467A">
        <w:rPr>
          <w:color w:val="12354E" w:themeColor="accent1" w:themeShade="BF"/>
          <w:sz w:val="20"/>
          <w:lang w:val="es-ES" w:bidi="pt-PT"/>
        </w:rPr>
        <w:t>órgão</w:t>
      </w:r>
      <w:proofErr w:type="spellEnd"/>
      <w:r w:rsidRPr="008F467A">
        <w:rPr>
          <w:color w:val="12354E" w:themeColor="accent1" w:themeShade="BF"/>
          <w:sz w:val="20"/>
          <w:lang w:val="es-ES" w:bidi="pt-PT"/>
        </w:rPr>
        <w:t xml:space="preserve"> nacional </w:t>
      </w:r>
      <w:proofErr w:type="spellStart"/>
      <w:r w:rsidRPr="008F467A">
        <w:rPr>
          <w:color w:val="12354E" w:themeColor="accent1" w:themeShade="BF"/>
          <w:sz w:val="20"/>
          <w:lang w:val="es-ES" w:bidi="pt-PT"/>
        </w:rPr>
        <w:t>responsável</w:t>
      </w:r>
      <w:proofErr w:type="spellEnd"/>
      <w:r w:rsidRPr="008F467A">
        <w:rPr>
          <w:color w:val="12354E" w:themeColor="accent1" w:themeShade="BF"/>
          <w:sz w:val="20"/>
          <w:lang w:val="es-ES" w:bidi="pt-PT"/>
        </w:rPr>
        <w:t xml:space="preserve"> pelos recursos hídricos para </w:t>
      </w:r>
      <w:proofErr w:type="spellStart"/>
      <w:r w:rsidRPr="008F467A">
        <w:rPr>
          <w:color w:val="12354E" w:themeColor="accent1" w:themeShade="BF"/>
          <w:sz w:val="20"/>
          <w:lang w:val="es-ES" w:bidi="pt-PT"/>
        </w:rPr>
        <w:t>fins</w:t>
      </w:r>
      <w:proofErr w:type="spellEnd"/>
      <w:r w:rsidRPr="008F467A">
        <w:rPr>
          <w:color w:val="12354E" w:themeColor="accent1" w:themeShade="BF"/>
          <w:sz w:val="20"/>
          <w:lang w:val="es-ES" w:bidi="pt-PT"/>
        </w:rPr>
        <w:t xml:space="preserve"> do </w:t>
      </w:r>
      <w:proofErr w:type="spellStart"/>
      <w:r w:rsidRPr="008F467A">
        <w:rPr>
          <w:color w:val="12354E" w:themeColor="accent1" w:themeShade="BF"/>
          <w:sz w:val="20"/>
          <w:lang w:val="es-ES" w:bidi="pt-PT"/>
        </w:rPr>
        <w:t>processo</w:t>
      </w:r>
      <w:proofErr w:type="spellEnd"/>
      <w:r w:rsidRPr="008F467A">
        <w:rPr>
          <w:color w:val="12354E" w:themeColor="accent1" w:themeShade="BF"/>
          <w:sz w:val="20"/>
          <w:lang w:val="es-ES" w:bidi="pt-PT"/>
        </w:rPr>
        <w:t xml:space="preserve"> de relato do ODS 6.5.1.</w:t>
      </w:r>
    </w:p>
  </w:footnote>
  <w:footnote w:id="2">
    <w:p w14:paraId="4D1F3EE4" w14:textId="77777777" w:rsidR="00A0315D" w:rsidRPr="00267629" w:rsidRDefault="00A0315D" w:rsidP="00A0315D">
      <w:pPr>
        <w:rPr>
          <w:rFonts w:ascii="Calibri" w:eastAsia="Calibri" w:hAnsi="Calibri" w:cs="Calibri"/>
          <w:color w:val="12354E" w:themeColor="accent1" w:themeShade="BF"/>
          <w:lang w:val="es-ES"/>
        </w:rPr>
      </w:pPr>
      <w:r w:rsidRPr="00267629">
        <w:rPr>
          <w:rStyle w:val="FootnoteReference"/>
          <w:color w:val="12354E" w:themeColor="accent1" w:themeShade="BF"/>
          <w:lang w:bidi="pt-PT"/>
        </w:rPr>
        <w:footnoteRef/>
      </w:r>
      <w:r w:rsidRPr="00267629">
        <w:rPr>
          <w:color w:val="12354E" w:themeColor="accent1" w:themeShade="BF"/>
          <w:lang w:val="es-ES" w:bidi="pt-PT"/>
        </w:rPr>
        <w:t xml:space="preserve"> </w:t>
      </w:r>
      <w:r w:rsidRPr="00267629">
        <w:rPr>
          <w:color w:val="12354E" w:themeColor="accent1" w:themeShade="BF"/>
          <w:sz w:val="18"/>
          <w:lang w:val="es-ES" w:bidi="pt-PT"/>
        </w:rPr>
        <w:t xml:space="preserve">Por </w:t>
      </w:r>
      <w:proofErr w:type="spellStart"/>
      <w:r w:rsidRPr="00267629">
        <w:rPr>
          <w:color w:val="12354E" w:themeColor="accent1" w:themeShade="BF"/>
          <w:sz w:val="18"/>
          <w:lang w:val="es-ES" w:bidi="pt-PT"/>
        </w:rPr>
        <w:t>exemplo</w:t>
      </w:r>
      <w:proofErr w:type="spellEnd"/>
      <w:r w:rsidRPr="00267629">
        <w:rPr>
          <w:color w:val="12354E" w:themeColor="accent1" w:themeShade="BF"/>
          <w:sz w:val="18"/>
          <w:lang w:val="es-ES" w:bidi="pt-PT"/>
        </w:rPr>
        <w:t xml:space="preserve">, a </w:t>
      </w:r>
      <w:proofErr w:type="spellStart"/>
      <w:r w:rsidRPr="00267629">
        <w:rPr>
          <w:color w:val="12354E" w:themeColor="accent1" w:themeShade="BF"/>
          <w:sz w:val="18"/>
          <w:lang w:val="es-ES" w:bidi="pt-PT"/>
        </w:rPr>
        <w:t>pergunta</w:t>
      </w:r>
      <w:proofErr w:type="spellEnd"/>
      <w:r w:rsidRPr="00267629">
        <w:rPr>
          <w:color w:val="12354E" w:themeColor="accent1" w:themeShade="BF"/>
          <w:sz w:val="18"/>
          <w:lang w:val="es-ES" w:bidi="pt-PT"/>
        </w:rPr>
        <w:t xml:space="preserve"> 2.1d sobre a “</w:t>
      </w:r>
      <w:proofErr w:type="spellStart"/>
      <w:r w:rsidRPr="00267629">
        <w:rPr>
          <w:color w:val="12354E" w:themeColor="accent1" w:themeShade="BF"/>
          <w:sz w:val="18"/>
          <w:lang w:val="es-ES" w:bidi="pt-PT"/>
        </w:rPr>
        <w:t>Participação</w:t>
      </w:r>
      <w:proofErr w:type="spellEnd"/>
      <w:r w:rsidRPr="00267629">
        <w:rPr>
          <w:color w:val="12354E" w:themeColor="accent1" w:themeShade="BF"/>
          <w:sz w:val="18"/>
          <w:lang w:val="es-ES" w:bidi="pt-PT"/>
        </w:rPr>
        <w:t xml:space="preserve"> do </w:t>
      </w:r>
      <w:proofErr w:type="spellStart"/>
      <w:r w:rsidRPr="00267629">
        <w:rPr>
          <w:color w:val="12354E" w:themeColor="accent1" w:themeShade="BF"/>
          <w:sz w:val="18"/>
          <w:lang w:val="es-ES" w:bidi="pt-PT"/>
        </w:rPr>
        <w:t>setor</w:t>
      </w:r>
      <w:proofErr w:type="spellEnd"/>
      <w:r w:rsidRPr="00267629">
        <w:rPr>
          <w:color w:val="12354E" w:themeColor="accent1" w:themeShade="BF"/>
          <w:sz w:val="18"/>
          <w:lang w:val="es-ES" w:bidi="pt-PT"/>
        </w:rPr>
        <w:t xml:space="preserve"> privado no </w:t>
      </w:r>
      <w:proofErr w:type="spellStart"/>
      <w:r w:rsidRPr="00267629">
        <w:rPr>
          <w:color w:val="12354E" w:themeColor="accent1" w:themeShade="BF"/>
          <w:sz w:val="18"/>
          <w:lang w:val="es-ES" w:bidi="pt-PT"/>
        </w:rPr>
        <w:t>desenvolvimento</w:t>
      </w:r>
      <w:proofErr w:type="spellEnd"/>
      <w:r w:rsidRPr="00267629">
        <w:rPr>
          <w:color w:val="12354E" w:themeColor="accent1" w:themeShade="BF"/>
          <w:sz w:val="18"/>
          <w:lang w:val="es-ES" w:bidi="pt-PT"/>
        </w:rPr>
        <w:t xml:space="preserve">, </w:t>
      </w:r>
      <w:proofErr w:type="spellStart"/>
      <w:r w:rsidRPr="00267629">
        <w:rPr>
          <w:color w:val="12354E" w:themeColor="accent1" w:themeShade="BF"/>
          <w:sz w:val="18"/>
          <w:lang w:val="es-ES" w:bidi="pt-PT"/>
        </w:rPr>
        <w:t>gestão</w:t>
      </w:r>
      <w:proofErr w:type="spellEnd"/>
      <w:r w:rsidRPr="00267629">
        <w:rPr>
          <w:color w:val="12354E" w:themeColor="accent1" w:themeShade="BF"/>
          <w:sz w:val="18"/>
          <w:lang w:val="es-ES" w:bidi="pt-PT"/>
        </w:rPr>
        <w:t xml:space="preserve"> e </w:t>
      </w:r>
      <w:proofErr w:type="spellStart"/>
      <w:r w:rsidRPr="00267629">
        <w:rPr>
          <w:color w:val="12354E" w:themeColor="accent1" w:themeShade="BF"/>
          <w:sz w:val="18"/>
          <w:lang w:val="es-ES" w:bidi="pt-PT"/>
        </w:rPr>
        <w:t>utilização</w:t>
      </w:r>
      <w:proofErr w:type="spellEnd"/>
      <w:r w:rsidRPr="00267629">
        <w:rPr>
          <w:color w:val="12354E" w:themeColor="accent1" w:themeShade="BF"/>
          <w:sz w:val="18"/>
          <w:lang w:val="es-ES" w:bidi="pt-PT"/>
        </w:rPr>
        <w:t xml:space="preserve"> de recursos hídricos” pode ser </w:t>
      </w:r>
      <w:proofErr w:type="spellStart"/>
      <w:r w:rsidRPr="00267629">
        <w:rPr>
          <w:color w:val="12354E" w:themeColor="accent1" w:themeShade="BF"/>
          <w:sz w:val="18"/>
          <w:lang w:val="es-ES" w:bidi="pt-PT"/>
        </w:rPr>
        <w:t>feita</w:t>
      </w:r>
      <w:proofErr w:type="spellEnd"/>
      <w:r w:rsidRPr="00267629">
        <w:rPr>
          <w:color w:val="12354E" w:themeColor="accent1" w:themeShade="BF"/>
          <w:sz w:val="18"/>
          <w:lang w:val="es-ES" w:bidi="pt-PT"/>
        </w:rPr>
        <w:t xml:space="preserve"> a </w:t>
      </w:r>
      <w:proofErr w:type="spellStart"/>
      <w:r w:rsidRPr="00267629">
        <w:rPr>
          <w:color w:val="12354E" w:themeColor="accent1" w:themeShade="BF"/>
          <w:sz w:val="18"/>
          <w:lang w:val="es-ES" w:bidi="pt-PT"/>
        </w:rPr>
        <w:t>uma</w:t>
      </w:r>
      <w:proofErr w:type="spellEnd"/>
      <w:r w:rsidRPr="00267629">
        <w:rPr>
          <w:color w:val="12354E" w:themeColor="accent1" w:themeShade="BF"/>
          <w:sz w:val="18"/>
          <w:lang w:val="es-ES" w:bidi="pt-PT"/>
        </w:rPr>
        <w:t xml:space="preserve"> </w:t>
      </w:r>
      <w:proofErr w:type="spellStart"/>
      <w:r w:rsidRPr="00267629">
        <w:rPr>
          <w:color w:val="12354E" w:themeColor="accent1" w:themeShade="BF"/>
          <w:sz w:val="18"/>
          <w:lang w:val="es-ES" w:bidi="pt-PT"/>
        </w:rPr>
        <w:t>combinação</w:t>
      </w:r>
      <w:proofErr w:type="spellEnd"/>
      <w:r w:rsidRPr="00267629">
        <w:rPr>
          <w:color w:val="12354E" w:themeColor="accent1" w:themeShade="BF"/>
          <w:sz w:val="18"/>
          <w:lang w:val="es-ES" w:bidi="pt-PT"/>
        </w:rPr>
        <w:t xml:space="preserve"> de representantes do </w:t>
      </w:r>
      <w:proofErr w:type="spellStart"/>
      <w:r w:rsidRPr="00267629">
        <w:rPr>
          <w:color w:val="12354E" w:themeColor="accent1" w:themeShade="BF"/>
          <w:sz w:val="18"/>
          <w:lang w:val="es-ES" w:bidi="pt-PT"/>
        </w:rPr>
        <w:t>setor</w:t>
      </w:r>
      <w:proofErr w:type="spellEnd"/>
      <w:r w:rsidRPr="00267629">
        <w:rPr>
          <w:color w:val="12354E" w:themeColor="accent1" w:themeShade="BF"/>
          <w:sz w:val="18"/>
          <w:lang w:val="es-ES" w:bidi="pt-PT"/>
        </w:rPr>
        <w:t xml:space="preserve"> privado </w:t>
      </w:r>
      <w:proofErr w:type="gramStart"/>
      <w:r w:rsidRPr="00267629">
        <w:rPr>
          <w:color w:val="12354E" w:themeColor="accent1" w:themeShade="BF"/>
          <w:sz w:val="18"/>
          <w:lang w:val="es-ES" w:bidi="pt-PT"/>
        </w:rPr>
        <w:t>e</w:t>
      </w:r>
      <w:proofErr w:type="gramEnd"/>
      <w:r w:rsidRPr="00267629">
        <w:rPr>
          <w:color w:val="12354E" w:themeColor="accent1" w:themeShade="BF"/>
          <w:sz w:val="18"/>
          <w:lang w:val="es-ES" w:bidi="pt-PT"/>
        </w:rPr>
        <w:t xml:space="preserve"> gestores de recursos hídricos. Pode ser </w:t>
      </w:r>
      <w:proofErr w:type="spellStart"/>
      <w:r w:rsidRPr="00267629">
        <w:rPr>
          <w:color w:val="12354E" w:themeColor="accent1" w:themeShade="BF"/>
          <w:sz w:val="18"/>
          <w:lang w:val="es-ES" w:bidi="pt-PT"/>
        </w:rPr>
        <w:t>uma</w:t>
      </w:r>
      <w:proofErr w:type="spellEnd"/>
      <w:r w:rsidRPr="00267629">
        <w:rPr>
          <w:color w:val="12354E" w:themeColor="accent1" w:themeShade="BF"/>
          <w:sz w:val="18"/>
          <w:lang w:val="es-ES" w:bidi="pt-PT"/>
        </w:rPr>
        <w:t xml:space="preserve"> </w:t>
      </w:r>
      <w:proofErr w:type="spellStart"/>
      <w:r w:rsidRPr="00267629">
        <w:rPr>
          <w:color w:val="12354E" w:themeColor="accent1" w:themeShade="BF"/>
          <w:sz w:val="18"/>
          <w:lang w:val="es-ES" w:bidi="pt-PT"/>
        </w:rPr>
        <w:t>sessão</w:t>
      </w:r>
      <w:proofErr w:type="spellEnd"/>
      <w:r w:rsidRPr="00267629">
        <w:rPr>
          <w:color w:val="12354E" w:themeColor="accent1" w:themeShade="BF"/>
          <w:sz w:val="18"/>
          <w:lang w:val="es-ES" w:bidi="pt-PT"/>
        </w:rPr>
        <w:t xml:space="preserve"> curta e </w:t>
      </w:r>
      <w:proofErr w:type="spellStart"/>
      <w:r w:rsidRPr="00267629">
        <w:rPr>
          <w:color w:val="12354E" w:themeColor="accent1" w:themeShade="BF"/>
          <w:sz w:val="18"/>
          <w:lang w:val="es-ES" w:bidi="pt-PT"/>
        </w:rPr>
        <w:t>focada</w:t>
      </w:r>
      <w:proofErr w:type="spellEnd"/>
      <w:r w:rsidRPr="00267629">
        <w:rPr>
          <w:color w:val="12354E" w:themeColor="accent1" w:themeShade="BF"/>
          <w:sz w:val="18"/>
          <w:lang w:val="es-ES" w:bidi="pt-PT"/>
        </w:rPr>
        <w:t xml:space="preserve"> </w:t>
      </w:r>
      <w:proofErr w:type="spellStart"/>
      <w:r w:rsidRPr="00267629">
        <w:rPr>
          <w:color w:val="12354E" w:themeColor="accent1" w:themeShade="BF"/>
          <w:sz w:val="18"/>
          <w:lang w:val="es-ES" w:bidi="pt-PT"/>
        </w:rPr>
        <w:t>ou</w:t>
      </w:r>
      <w:proofErr w:type="spellEnd"/>
      <w:r w:rsidRPr="00267629">
        <w:rPr>
          <w:color w:val="12354E" w:themeColor="accent1" w:themeShade="BF"/>
          <w:sz w:val="18"/>
          <w:lang w:val="es-ES" w:bidi="pt-PT"/>
        </w:rPr>
        <w:t xml:space="preserve"> </w:t>
      </w:r>
      <w:proofErr w:type="spellStart"/>
      <w:r w:rsidRPr="00267629">
        <w:rPr>
          <w:color w:val="12354E" w:themeColor="accent1" w:themeShade="BF"/>
          <w:sz w:val="18"/>
          <w:lang w:val="es-ES" w:bidi="pt-PT"/>
        </w:rPr>
        <w:t>uma</w:t>
      </w:r>
      <w:proofErr w:type="spellEnd"/>
      <w:r w:rsidRPr="00267629">
        <w:rPr>
          <w:color w:val="12354E" w:themeColor="accent1" w:themeShade="BF"/>
          <w:sz w:val="18"/>
          <w:lang w:val="es-ES" w:bidi="pt-PT"/>
        </w:rPr>
        <w:t xml:space="preserve"> </w:t>
      </w:r>
      <w:proofErr w:type="spellStart"/>
      <w:r w:rsidRPr="00267629">
        <w:rPr>
          <w:color w:val="12354E" w:themeColor="accent1" w:themeShade="BF"/>
          <w:sz w:val="18"/>
          <w:lang w:val="es-ES" w:bidi="pt-PT"/>
        </w:rPr>
        <w:t>série</w:t>
      </w:r>
      <w:proofErr w:type="spellEnd"/>
      <w:r w:rsidRPr="00267629">
        <w:rPr>
          <w:color w:val="12354E" w:themeColor="accent1" w:themeShade="BF"/>
          <w:sz w:val="18"/>
          <w:lang w:val="es-ES" w:bidi="pt-PT"/>
        </w:rPr>
        <w:t xml:space="preserve"> de </w:t>
      </w:r>
      <w:proofErr w:type="spellStart"/>
      <w:r w:rsidRPr="00267629">
        <w:rPr>
          <w:color w:val="12354E" w:themeColor="accent1" w:themeShade="BF"/>
          <w:sz w:val="18"/>
          <w:lang w:val="es-ES" w:bidi="pt-PT"/>
        </w:rPr>
        <w:t>sessões</w:t>
      </w:r>
      <w:proofErr w:type="spellEnd"/>
      <w:r w:rsidRPr="00267629">
        <w:rPr>
          <w:color w:val="12354E" w:themeColor="accent1" w:themeShade="BF"/>
          <w:sz w:val="18"/>
          <w:lang w:val="es-ES" w:bidi="pt-PT"/>
        </w:rPr>
        <w:t xml:space="preserve">, </w:t>
      </w:r>
      <w:proofErr w:type="spellStart"/>
      <w:r w:rsidRPr="00267629">
        <w:rPr>
          <w:color w:val="12354E" w:themeColor="accent1" w:themeShade="BF"/>
          <w:sz w:val="18"/>
          <w:lang w:val="es-ES" w:bidi="pt-PT"/>
        </w:rPr>
        <w:t>com</w:t>
      </w:r>
      <w:proofErr w:type="spellEnd"/>
      <w:r w:rsidRPr="00267629">
        <w:rPr>
          <w:color w:val="12354E" w:themeColor="accent1" w:themeShade="BF"/>
          <w:sz w:val="18"/>
          <w:lang w:val="es-ES" w:bidi="pt-PT"/>
        </w:rPr>
        <w:t xml:space="preserve"> </w:t>
      </w:r>
      <w:proofErr w:type="spellStart"/>
      <w:r w:rsidRPr="00267629">
        <w:rPr>
          <w:color w:val="12354E" w:themeColor="accent1" w:themeShade="BF"/>
          <w:sz w:val="18"/>
          <w:lang w:val="es-ES" w:bidi="pt-PT"/>
        </w:rPr>
        <w:t>o</w:t>
      </w:r>
      <w:proofErr w:type="spellEnd"/>
      <w:r w:rsidRPr="00267629">
        <w:rPr>
          <w:color w:val="12354E" w:themeColor="accent1" w:themeShade="BF"/>
          <w:sz w:val="18"/>
          <w:lang w:val="es-ES" w:bidi="pt-PT"/>
        </w:rPr>
        <w:t xml:space="preserve"> objetivo de consolidar o </w:t>
      </w:r>
      <w:proofErr w:type="spellStart"/>
      <w:r w:rsidRPr="00267629">
        <w:rPr>
          <w:color w:val="12354E" w:themeColor="accent1" w:themeShade="BF"/>
          <w:sz w:val="18"/>
          <w:lang w:val="es-ES" w:bidi="pt-PT"/>
        </w:rPr>
        <w:t>entendimento</w:t>
      </w:r>
      <w:proofErr w:type="spellEnd"/>
      <w:r w:rsidRPr="00267629">
        <w:rPr>
          <w:color w:val="12354E" w:themeColor="accent1" w:themeShade="BF"/>
          <w:sz w:val="18"/>
          <w:lang w:val="es-ES" w:bidi="pt-PT"/>
        </w:rPr>
        <w:t xml:space="preserve"> e </w:t>
      </w:r>
      <w:proofErr w:type="spellStart"/>
      <w:r w:rsidRPr="00267629">
        <w:rPr>
          <w:color w:val="12354E" w:themeColor="accent1" w:themeShade="BF"/>
          <w:sz w:val="18"/>
          <w:lang w:val="es-ES" w:bidi="pt-PT"/>
        </w:rPr>
        <w:t>avançar</w:t>
      </w:r>
      <w:proofErr w:type="spellEnd"/>
      <w:r w:rsidRPr="00267629">
        <w:rPr>
          <w:color w:val="12354E" w:themeColor="accent1" w:themeShade="BF"/>
          <w:sz w:val="18"/>
          <w:lang w:val="es-ES" w:bidi="pt-PT"/>
        </w:rPr>
        <w:t xml:space="preserve"> para o consenso.</w:t>
      </w:r>
    </w:p>
  </w:footnote>
  <w:footnote w:id="3">
    <w:p w14:paraId="545D4819" w14:textId="003B5C8D" w:rsidR="00A0315D" w:rsidRPr="00267629" w:rsidRDefault="00A0315D" w:rsidP="00083BC4">
      <w:pPr>
        <w:pStyle w:val="FootnoteText"/>
        <w:rPr>
          <w:sz w:val="20"/>
          <w:szCs w:val="20"/>
          <w:lang w:val="es-ES"/>
        </w:rPr>
      </w:pPr>
      <w:r w:rsidRPr="00267629">
        <w:rPr>
          <w:rStyle w:val="FootnoteReference"/>
          <w:color w:val="12354E" w:themeColor="accent1" w:themeShade="BF"/>
          <w:sz w:val="20"/>
          <w:szCs w:val="20"/>
          <w:lang w:bidi="pt-PT"/>
        </w:rPr>
        <w:footnoteRef/>
      </w:r>
      <w:r w:rsidRPr="00267629">
        <w:rPr>
          <w:color w:val="12354E" w:themeColor="accent1" w:themeShade="BF"/>
          <w:sz w:val="20"/>
          <w:szCs w:val="20"/>
          <w:lang w:val="es-ES" w:bidi="pt-PT"/>
        </w:rPr>
        <w:t xml:space="preserve"> </w:t>
      </w:r>
      <w:proofErr w:type="spellStart"/>
      <w:r w:rsidRPr="00267629">
        <w:rPr>
          <w:color w:val="12354E" w:themeColor="accent1" w:themeShade="BF"/>
          <w:sz w:val="20"/>
          <w:szCs w:val="20"/>
          <w:lang w:val="es-ES" w:bidi="pt-PT"/>
        </w:rPr>
        <w:t>Com</w:t>
      </w:r>
      <w:proofErr w:type="spellEnd"/>
      <w:r w:rsidRPr="00267629">
        <w:rPr>
          <w:color w:val="12354E" w:themeColor="accent1" w:themeShade="BF"/>
          <w:sz w:val="20"/>
          <w:szCs w:val="20"/>
          <w:lang w:val="es-ES" w:bidi="pt-PT"/>
        </w:rPr>
        <w:t xml:space="preserve"> base </w:t>
      </w:r>
      <w:proofErr w:type="spellStart"/>
      <w:r w:rsidRPr="00267629">
        <w:rPr>
          <w:color w:val="12354E" w:themeColor="accent1" w:themeShade="BF"/>
          <w:sz w:val="20"/>
          <w:szCs w:val="20"/>
          <w:lang w:val="es-ES" w:bidi="pt-PT"/>
        </w:rPr>
        <w:t>numa</w:t>
      </w:r>
      <w:proofErr w:type="spellEnd"/>
      <w:r w:rsidRPr="00267629">
        <w:rPr>
          <w:color w:val="12354E" w:themeColor="accent1" w:themeShade="BF"/>
          <w:sz w:val="20"/>
          <w:szCs w:val="20"/>
          <w:lang w:val="es-ES" w:bidi="pt-PT"/>
        </w:rPr>
        <w:t xml:space="preserve"> </w:t>
      </w:r>
      <w:proofErr w:type="spellStart"/>
      <w:r w:rsidRPr="00267629">
        <w:rPr>
          <w:color w:val="12354E" w:themeColor="accent1" w:themeShade="BF"/>
          <w:sz w:val="20"/>
          <w:szCs w:val="20"/>
          <w:lang w:val="es-ES" w:bidi="pt-PT"/>
        </w:rPr>
        <w:t>análise</w:t>
      </w:r>
      <w:proofErr w:type="spellEnd"/>
      <w:r w:rsidRPr="00267629">
        <w:rPr>
          <w:color w:val="12354E" w:themeColor="accent1" w:themeShade="BF"/>
          <w:sz w:val="20"/>
          <w:szCs w:val="20"/>
          <w:lang w:val="es-ES" w:bidi="pt-PT"/>
        </w:rPr>
        <w:t xml:space="preserve"> dos </w:t>
      </w:r>
      <w:proofErr w:type="spellStart"/>
      <w:r w:rsidRPr="00267629">
        <w:rPr>
          <w:color w:val="12354E" w:themeColor="accent1" w:themeShade="BF"/>
          <w:sz w:val="20"/>
          <w:szCs w:val="20"/>
          <w:lang w:val="es-ES" w:bidi="pt-PT"/>
        </w:rPr>
        <w:t>processos</w:t>
      </w:r>
      <w:proofErr w:type="spellEnd"/>
      <w:r w:rsidRPr="00267629">
        <w:rPr>
          <w:color w:val="12354E" w:themeColor="accent1" w:themeShade="BF"/>
          <w:sz w:val="20"/>
          <w:szCs w:val="20"/>
          <w:lang w:val="es-ES" w:bidi="pt-PT"/>
        </w:rPr>
        <w:t xml:space="preserve"> de consulta de </w:t>
      </w:r>
      <w:proofErr w:type="spellStart"/>
      <w:r w:rsidRPr="00267629">
        <w:rPr>
          <w:color w:val="12354E" w:themeColor="accent1" w:themeShade="BF"/>
          <w:sz w:val="20"/>
          <w:szCs w:val="20"/>
          <w:lang w:val="es-ES" w:bidi="pt-PT"/>
        </w:rPr>
        <w:t>várias</w:t>
      </w:r>
      <w:proofErr w:type="spellEnd"/>
      <w:r w:rsidRPr="00267629">
        <w:rPr>
          <w:color w:val="12354E" w:themeColor="accent1" w:themeShade="BF"/>
          <w:sz w:val="20"/>
          <w:szCs w:val="20"/>
          <w:lang w:val="es-ES" w:bidi="pt-PT"/>
        </w:rPr>
        <w:t xml:space="preserve"> partes </w:t>
      </w:r>
      <w:proofErr w:type="spellStart"/>
      <w:r w:rsidRPr="00267629">
        <w:rPr>
          <w:color w:val="12354E" w:themeColor="accent1" w:themeShade="BF"/>
          <w:sz w:val="20"/>
          <w:szCs w:val="20"/>
          <w:lang w:val="es-ES" w:bidi="pt-PT"/>
        </w:rPr>
        <w:t>interessadas</w:t>
      </w:r>
      <w:proofErr w:type="spellEnd"/>
      <w:r w:rsidRPr="00267629">
        <w:rPr>
          <w:color w:val="12354E" w:themeColor="accent1" w:themeShade="BF"/>
          <w:sz w:val="20"/>
          <w:szCs w:val="20"/>
          <w:lang w:val="es-ES" w:bidi="pt-PT"/>
        </w:rPr>
        <w:t xml:space="preserve"> para o relato sobre o ODS 6.5.1: </w:t>
      </w:r>
      <w:r w:rsidRPr="00267629">
        <w:rPr>
          <w:sz w:val="20"/>
          <w:szCs w:val="20"/>
          <w:lang w:val="es-ES" w:bidi="pt-PT"/>
        </w:rPr>
        <w:t xml:space="preserve"> </w:t>
      </w:r>
      <w:hyperlink r:id="rId1" w:history="1">
        <w:r w:rsidRPr="00267629">
          <w:rPr>
            <w:rStyle w:val="Hyperlink"/>
            <w:sz w:val="20"/>
            <w:szCs w:val="20"/>
            <w:lang w:val="es-ES" w:bidi="pt-PT"/>
          </w:rPr>
          <w:t>https://www.gwp.org/en/sdg6support/MSPs/</w:t>
        </w:r>
      </w:hyperlink>
      <w:r w:rsidRPr="00267629">
        <w:rPr>
          <w:sz w:val="20"/>
          <w:szCs w:val="20"/>
          <w:lang w:val="es-ES" w:bidi="pt-PT"/>
        </w:rPr>
        <w:t>.</w:t>
      </w:r>
    </w:p>
  </w:footnote>
  <w:footnote w:id="4">
    <w:p w14:paraId="19A3BB4E" w14:textId="77777777" w:rsidR="00A0315D" w:rsidRPr="00267629" w:rsidRDefault="00A0315D" w:rsidP="00A0315D">
      <w:pPr>
        <w:pStyle w:val="FootnoteText"/>
        <w:rPr>
          <w:color w:val="12354E" w:themeColor="accent1" w:themeShade="BF"/>
          <w:sz w:val="20"/>
          <w:szCs w:val="20"/>
          <w:lang w:val="es-ES"/>
        </w:rPr>
      </w:pPr>
      <w:r w:rsidRPr="00267629">
        <w:rPr>
          <w:rStyle w:val="FootnoteReference"/>
          <w:color w:val="12354E" w:themeColor="accent1" w:themeShade="BF"/>
          <w:sz w:val="20"/>
          <w:szCs w:val="20"/>
          <w:lang w:bidi="pt-PT"/>
        </w:rPr>
        <w:footnoteRef/>
      </w:r>
      <w:r w:rsidRPr="00267629">
        <w:rPr>
          <w:color w:val="12354E" w:themeColor="accent1" w:themeShade="BF"/>
          <w:sz w:val="20"/>
          <w:szCs w:val="20"/>
          <w:lang w:val="es-ES" w:bidi="pt-PT"/>
        </w:rPr>
        <w:t xml:space="preserve"> Para </w:t>
      </w:r>
      <w:proofErr w:type="spellStart"/>
      <w:r w:rsidRPr="00267629">
        <w:rPr>
          <w:color w:val="12354E" w:themeColor="accent1" w:themeShade="BF"/>
          <w:sz w:val="20"/>
          <w:szCs w:val="20"/>
          <w:lang w:val="es-ES" w:bidi="pt-PT"/>
        </w:rPr>
        <w:t>perguntas</w:t>
      </w:r>
      <w:proofErr w:type="spellEnd"/>
      <w:r w:rsidRPr="00267629">
        <w:rPr>
          <w:color w:val="12354E" w:themeColor="accent1" w:themeShade="BF"/>
          <w:sz w:val="20"/>
          <w:szCs w:val="20"/>
          <w:lang w:val="es-ES" w:bidi="pt-PT"/>
        </w:rPr>
        <w:t xml:space="preserve"> específicas do </w:t>
      </w:r>
      <w:proofErr w:type="spellStart"/>
      <w:r w:rsidRPr="00267629">
        <w:rPr>
          <w:color w:val="12354E" w:themeColor="accent1" w:themeShade="BF"/>
          <w:sz w:val="20"/>
          <w:szCs w:val="20"/>
          <w:lang w:val="es-ES" w:bidi="pt-PT"/>
        </w:rPr>
        <w:t>inquérito</w:t>
      </w:r>
      <w:proofErr w:type="spellEnd"/>
      <w:r w:rsidRPr="00267629">
        <w:rPr>
          <w:color w:val="12354E" w:themeColor="accent1" w:themeShade="BF"/>
          <w:sz w:val="20"/>
          <w:szCs w:val="20"/>
          <w:lang w:val="es-ES" w:bidi="pt-PT"/>
        </w:rPr>
        <w:t xml:space="preserve">, é altamente recomendada a </w:t>
      </w:r>
      <w:proofErr w:type="spellStart"/>
      <w:r w:rsidRPr="00267629">
        <w:rPr>
          <w:color w:val="12354E" w:themeColor="accent1" w:themeShade="BF"/>
          <w:sz w:val="20"/>
          <w:szCs w:val="20"/>
          <w:lang w:val="es-ES" w:bidi="pt-PT"/>
        </w:rPr>
        <w:t>representação</w:t>
      </w:r>
      <w:proofErr w:type="spellEnd"/>
      <w:r w:rsidRPr="00267629">
        <w:rPr>
          <w:color w:val="12354E" w:themeColor="accent1" w:themeShade="BF"/>
          <w:sz w:val="20"/>
          <w:szCs w:val="20"/>
          <w:lang w:val="es-ES" w:bidi="pt-PT"/>
        </w:rPr>
        <w:t xml:space="preserve"> </w:t>
      </w:r>
      <w:proofErr w:type="spellStart"/>
      <w:r w:rsidRPr="00267629">
        <w:rPr>
          <w:color w:val="12354E" w:themeColor="accent1" w:themeShade="BF"/>
          <w:sz w:val="20"/>
          <w:szCs w:val="20"/>
          <w:lang w:val="es-ES" w:bidi="pt-PT"/>
        </w:rPr>
        <w:t>ou</w:t>
      </w:r>
      <w:proofErr w:type="spellEnd"/>
      <w:r w:rsidRPr="00267629">
        <w:rPr>
          <w:color w:val="12354E" w:themeColor="accent1" w:themeShade="BF"/>
          <w:sz w:val="20"/>
          <w:szCs w:val="20"/>
          <w:lang w:val="es-ES" w:bidi="pt-PT"/>
        </w:rPr>
        <w:t xml:space="preserve"> </w:t>
      </w:r>
      <w:proofErr w:type="spellStart"/>
      <w:r w:rsidRPr="00267629">
        <w:rPr>
          <w:color w:val="12354E" w:themeColor="accent1" w:themeShade="BF"/>
          <w:sz w:val="20"/>
          <w:szCs w:val="20"/>
          <w:lang w:val="es-ES" w:bidi="pt-PT"/>
        </w:rPr>
        <w:t>experiência</w:t>
      </w:r>
      <w:proofErr w:type="spellEnd"/>
      <w:r w:rsidRPr="00267629">
        <w:rPr>
          <w:color w:val="12354E" w:themeColor="accent1" w:themeShade="BF"/>
          <w:sz w:val="20"/>
          <w:szCs w:val="20"/>
          <w:lang w:val="es-ES" w:bidi="pt-PT"/>
        </w:rPr>
        <w:t xml:space="preserve"> </w:t>
      </w:r>
      <w:proofErr w:type="spellStart"/>
      <w:r w:rsidRPr="00267629">
        <w:rPr>
          <w:color w:val="12354E" w:themeColor="accent1" w:themeShade="BF"/>
          <w:sz w:val="20"/>
          <w:szCs w:val="20"/>
          <w:lang w:val="es-ES" w:bidi="pt-PT"/>
        </w:rPr>
        <w:t>nas</w:t>
      </w:r>
      <w:proofErr w:type="spellEnd"/>
      <w:r w:rsidRPr="00267629">
        <w:rPr>
          <w:color w:val="12354E" w:themeColor="accent1" w:themeShade="BF"/>
          <w:sz w:val="20"/>
          <w:szCs w:val="20"/>
          <w:lang w:val="es-ES" w:bidi="pt-PT"/>
        </w:rPr>
        <w:t xml:space="preserve"> áreas </w:t>
      </w:r>
      <w:proofErr w:type="spellStart"/>
      <w:r w:rsidRPr="00267629">
        <w:rPr>
          <w:color w:val="12354E" w:themeColor="accent1" w:themeShade="BF"/>
          <w:sz w:val="20"/>
          <w:szCs w:val="20"/>
          <w:lang w:val="es-ES" w:bidi="pt-PT"/>
        </w:rPr>
        <w:t>seguintes</w:t>
      </w:r>
      <w:proofErr w:type="spellEnd"/>
      <w:r w:rsidRPr="00267629">
        <w:rPr>
          <w:color w:val="12354E" w:themeColor="accent1" w:themeShade="BF"/>
          <w:sz w:val="20"/>
          <w:szCs w:val="20"/>
          <w:lang w:val="es-ES" w:bidi="pt-PT"/>
        </w:rPr>
        <w:t xml:space="preserve">: </w:t>
      </w:r>
      <w:proofErr w:type="spellStart"/>
      <w:r w:rsidRPr="00267629">
        <w:rPr>
          <w:color w:val="12354E" w:themeColor="accent1" w:themeShade="BF"/>
          <w:sz w:val="20"/>
          <w:szCs w:val="20"/>
          <w:lang w:val="es-ES" w:bidi="pt-PT"/>
        </w:rPr>
        <w:t>adaptação</w:t>
      </w:r>
      <w:proofErr w:type="spellEnd"/>
      <w:r w:rsidRPr="00267629">
        <w:rPr>
          <w:color w:val="12354E" w:themeColor="accent1" w:themeShade="BF"/>
          <w:sz w:val="20"/>
          <w:szCs w:val="20"/>
          <w:lang w:val="es-ES" w:bidi="pt-PT"/>
        </w:rPr>
        <w:t xml:space="preserve"> e </w:t>
      </w:r>
      <w:proofErr w:type="spellStart"/>
      <w:r w:rsidRPr="00267629">
        <w:rPr>
          <w:color w:val="12354E" w:themeColor="accent1" w:themeShade="BF"/>
          <w:sz w:val="20"/>
          <w:szCs w:val="20"/>
          <w:lang w:val="es-ES" w:bidi="pt-PT"/>
        </w:rPr>
        <w:t>atenuação</w:t>
      </w:r>
      <w:proofErr w:type="spellEnd"/>
      <w:r w:rsidRPr="00267629">
        <w:rPr>
          <w:color w:val="12354E" w:themeColor="accent1" w:themeShade="BF"/>
          <w:sz w:val="20"/>
          <w:szCs w:val="20"/>
          <w:lang w:val="es-ES" w:bidi="pt-PT"/>
        </w:rPr>
        <w:t xml:space="preserve"> climáticas (</w:t>
      </w:r>
      <w:proofErr w:type="spellStart"/>
      <w:r w:rsidRPr="00267629">
        <w:rPr>
          <w:color w:val="12354E" w:themeColor="accent1" w:themeShade="BF"/>
          <w:sz w:val="20"/>
          <w:szCs w:val="20"/>
          <w:lang w:val="es-ES" w:bidi="pt-PT"/>
        </w:rPr>
        <w:t>várias</w:t>
      </w:r>
      <w:proofErr w:type="spellEnd"/>
      <w:r w:rsidRPr="00267629">
        <w:rPr>
          <w:color w:val="12354E" w:themeColor="accent1" w:themeShade="BF"/>
          <w:sz w:val="20"/>
          <w:szCs w:val="20"/>
          <w:lang w:val="es-ES" w:bidi="pt-PT"/>
        </w:rPr>
        <w:t xml:space="preserve"> </w:t>
      </w:r>
      <w:proofErr w:type="spellStart"/>
      <w:r w:rsidRPr="00267629">
        <w:rPr>
          <w:color w:val="12354E" w:themeColor="accent1" w:themeShade="BF"/>
          <w:sz w:val="20"/>
          <w:szCs w:val="20"/>
          <w:lang w:val="es-ES" w:bidi="pt-PT"/>
        </w:rPr>
        <w:t>respostas</w:t>
      </w:r>
      <w:proofErr w:type="spellEnd"/>
      <w:r w:rsidRPr="00267629">
        <w:rPr>
          <w:color w:val="12354E" w:themeColor="accent1" w:themeShade="BF"/>
          <w:sz w:val="20"/>
          <w:szCs w:val="20"/>
          <w:lang w:val="es-ES" w:bidi="pt-PT"/>
        </w:rPr>
        <w:t xml:space="preserve">); </w:t>
      </w:r>
      <w:proofErr w:type="spellStart"/>
      <w:r w:rsidRPr="00267629">
        <w:rPr>
          <w:color w:val="12354E" w:themeColor="accent1" w:themeShade="BF"/>
          <w:sz w:val="20"/>
          <w:szCs w:val="20"/>
          <w:lang w:val="es-ES" w:bidi="pt-PT"/>
        </w:rPr>
        <w:t>setor</w:t>
      </w:r>
      <w:proofErr w:type="spellEnd"/>
      <w:r w:rsidRPr="00267629">
        <w:rPr>
          <w:color w:val="12354E" w:themeColor="accent1" w:themeShade="BF"/>
          <w:sz w:val="20"/>
          <w:szCs w:val="20"/>
          <w:lang w:val="es-ES" w:bidi="pt-PT"/>
        </w:rPr>
        <w:t xml:space="preserve"> privado (P 2.1d); grupos </w:t>
      </w:r>
      <w:proofErr w:type="spellStart"/>
      <w:r w:rsidRPr="00267629">
        <w:rPr>
          <w:color w:val="12354E" w:themeColor="accent1" w:themeShade="BF"/>
          <w:sz w:val="20"/>
          <w:szCs w:val="20"/>
          <w:lang w:val="es-ES" w:bidi="pt-PT"/>
        </w:rPr>
        <w:t>vulneráveis</w:t>
      </w:r>
      <w:proofErr w:type="spellEnd"/>
      <w:r w:rsidRPr="00267629">
        <w:rPr>
          <w:color w:val="12354E" w:themeColor="accent1" w:themeShade="BF"/>
          <w:sz w:val="20"/>
          <w:szCs w:val="20"/>
          <w:lang w:val="es-ES" w:bidi="pt-PT"/>
        </w:rPr>
        <w:t xml:space="preserve"> ​​(P 2.2c); género (P 2.2d); </w:t>
      </w:r>
      <w:proofErr w:type="spellStart"/>
      <w:r w:rsidRPr="00267629">
        <w:rPr>
          <w:color w:val="12354E" w:themeColor="accent1" w:themeShade="BF"/>
          <w:sz w:val="20"/>
          <w:szCs w:val="20"/>
          <w:lang w:val="es-ES" w:bidi="pt-PT"/>
        </w:rPr>
        <w:t>questões</w:t>
      </w:r>
      <w:proofErr w:type="spellEnd"/>
      <w:r w:rsidRPr="00267629">
        <w:rPr>
          <w:color w:val="12354E" w:themeColor="accent1" w:themeShade="BF"/>
          <w:sz w:val="20"/>
          <w:szCs w:val="20"/>
          <w:lang w:val="es-ES" w:bidi="pt-PT"/>
        </w:rPr>
        <w:t xml:space="preserve"> </w:t>
      </w:r>
      <w:proofErr w:type="spellStart"/>
      <w:r w:rsidRPr="00267629">
        <w:rPr>
          <w:color w:val="12354E" w:themeColor="accent1" w:themeShade="BF"/>
          <w:sz w:val="20"/>
          <w:szCs w:val="20"/>
          <w:lang w:val="es-ES" w:bidi="pt-PT"/>
        </w:rPr>
        <w:t>transfronteiriças</w:t>
      </w:r>
      <w:proofErr w:type="spellEnd"/>
      <w:r w:rsidRPr="00267629">
        <w:rPr>
          <w:color w:val="12354E" w:themeColor="accent1" w:themeShade="BF"/>
          <w:sz w:val="20"/>
          <w:szCs w:val="20"/>
          <w:lang w:val="es-ES" w:bidi="pt-PT"/>
        </w:rPr>
        <w:t xml:space="preserve"> (P 1.2c, 2.2e, 3.2d e 4.2c).</w:t>
      </w:r>
    </w:p>
  </w:footnote>
  <w:footnote w:id="5">
    <w:p w14:paraId="303317BA" w14:textId="77777777" w:rsidR="00267629" w:rsidRPr="00267629" w:rsidRDefault="00267629" w:rsidP="00267629">
      <w:pPr>
        <w:pStyle w:val="FootnoteText"/>
        <w:rPr>
          <w:lang w:val="es-ES"/>
        </w:rPr>
      </w:pPr>
      <w:r>
        <w:rPr>
          <w:rStyle w:val="FootnoteReference"/>
          <w:lang w:bidi="pt-PT"/>
        </w:rPr>
        <w:footnoteRef/>
      </w:r>
      <w:r w:rsidRPr="00267629">
        <w:rPr>
          <w:lang w:val="es-ES" w:bidi="pt-PT"/>
        </w:rPr>
        <w:t xml:space="preserve"> </w:t>
      </w:r>
      <w:proofErr w:type="spellStart"/>
      <w:r w:rsidRPr="00267629">
        <w:rPr>
          <w:sz w:val="18"/>
          <w:lang w:val="es-ES" w:bidi="pt-PT"/>
        </w:rPr>
        <w:t>Com</w:t>
      </w:r>
      <w:proofErr w:type="spellEnd"/>
      <w:r w:rsidRPr="00267629">
        <w:rPr>
          <w:sz w:val="18"/>
          <w:lang w:val="es-ES" w:bidi="pt-PT"/>
        </w:rPr>
        <w:t xml:space="preserve"> base </w:t>
      </w:r>
      <w:proofErr w:type="spellStart"/>
      <w:r w:rsidRPr="00267629">
        <w:rPr>
          <w:sz w:val="18"/>
          <w:lang w:val="es-ES" w:bidi="pt-PT"/>
        </w:rPr>
        <w:t>numa</w:t>
      </w:r>
      <w:proofErr w:type="spellEnd"/>
      <w:r w:rsidRPr="00267629">
        <w:rPr>
          <w:sz w:val="18"/>
          <w:lang w:val="es-ES" w:bidi="pt-PT"/>
        </w:rPr>
        <w:t xml:space="preserve"> </w:t>
      </w:r>
      <w:proofErr w:type="spellStart"/>
      <w:r w:rsidRPr="00267629">
        <w:rPr>
          <w:sz w:val="18"/>
          <w:lang w:val="es-ES" w:bidi="pt-PT"/>
        </w:rPr>
        <w:t>análise</w:t>
      </w:r>
      <w:proofErr w:type="spellEnd"/>
      <w:r w:rsidRPr="00267629">
        <w:rPr>
          <w:sz w:val="18"/>
          <w:lang w:val="es-ES" w:bidi="pt-PT"/>
        </w:rPr>
        <w:t xml:space="preserve"> dos </w:t>
      </w:r>
      <w:proofErr w:type="spellStart"/>
      <w:r w:rsidRPr="00267629">
        <w:rPr>
          <w:sz w:val="18"/>
          <w:lang w:val="es-ES" w:bidi="pt-PT"/>
        </w:rPr>
        <w:t>processos</w:t>
      </w:r>
      <w:proofErr w:type="spellEnd"/>
      <w:r w:rsidRPr="00267629">
        <w:rPr>
          <w:sz w:val="18"/>
          <w:lang w:val="es-ES" w:bidi="pt-PT"/>
        </w:rPr>
        <w:t xml:space="preserve"> de consulta de </w:t>
      </w:r>
      <w:proofErr w:type="spellStart"/>
      <w:r w:rsidRPr="00267629">
        <w:rPr>
          <w:sz w:val="18"/>
          <w:lang w:val="es-ES" w:bidi="pt-PT"/>
        </w:rPr>
        <w:t>várias</w:t>
      </w:r>
      <w:proofErr w:type="spellEnd"/>
      <w:r w:rsidRPr="00267629">
        <w:rPr>
          <w:sz w:val="18"/>
          <w:lang w:val="es-ES" w:bidi="pt-PT"/>
        </w:rPr>
        <w:t xml:space="preserve"> partes </w:t>
      </w:r>
      <w:proofErr w:type="spellStart"/>
      <w:r w:rsidRPr="00267629">
        <w:rPr>
          <w:sz w:val="18"/>
          <w:lang w:val="es-ES" w:bidi="pt-PT"/>
        </w:rPr>
        <w:t>interessadas</w:t>
      </w:r>
      <w:proofErr w:type="spellEnd"/>
      <w:r w:rsidRPr="00267629">
        <w:rPr>
          <w:sz w:val="18"/>
          <w:lang w:val="es-ES" w:bidi="pt-PT"/>
        </w:rPr>
        <w:t xml:space="preserve"> para o relato sobre o ODS 6.5.1:</w:t>
      </w:r>
      <w:r w:rsidRPr="00267629">
        <w:rPr>
          <w:lang w:val="es-ES" w:bidi="pt-PT"/>
        </w:rPr>
        <w:t xml:space="preserve"> </w:t>
      </w:r>
      <w:hyperlink r:id="rId2" w:history="1">
        <w:r w:rsidRPr="00267629">
          <w:rPr>
            <w:rStyle w:val="Hyperlink"/>
            <w:sz w:val="18"/>
            <w:lang w:val="es-ES" w:bidi="pt-PT"/>
          </w:rPr>
          <w:t>https://www.gwp.org/en/sdg6support/MSPs/</w:t>
        </w:r>
      </w:hyperlink>
      <w:r w:rsidRPr="00267629">
        <w:rPr>
          <w:lang w:val="es-ES" w:bidi="pt-PT"/>
        </w:rPr>
        <w:t>.</w:t>
      </w:r>
    </w:p>
  </w:footnote>
  <w:footnote w:id="6">
    <w:p w14:paraId="1C1C2250" w14:textId="77777777" w:rsidR="00267629" w:rsidRPr="00267629" w:rsidRDefault="00267629" w:rsidP="00267629">
      <w:pPr>
        <w:pStyle w:val="FootnoteText"/>
        <w:rPr>
          <w:lang w:val="es-ES"/>
        </w:rPr>
      </w:pPr>
      <w:r w:rsidRPr="001762A5">
        <w:rPr>
          <w:rStyle w:val="FootnoteReference"/>
          <w:color w:val="12354E" w:themeColor="accent1" w:themeShade="BF"/>
          <w:lang w:bidi="pt-PT"/>
        </w:rPr>
        <w:footnoteRef/>
      </w:r>
      <w:r w:rsidRPr="001762A5">
        <w:rPr>
          <w:color w:val="12354E" w:themeColor="accent1" w:themeShade="BF"/>
          <w:lang w:val="es-ES" w:bidi="pt-PT"/>
        </w:rPr>
        <w:t xml:space="preserve"> </w:t>
      </w:r>
      <w:proofErr w:type="spellStart"/>
      <w:r w:rsidRPr="001762A5">
        <w:rPr>
          <w:color w:val="12354E" w:themeColor="accent1" w:themeShade="BF"/>
          <w:sz w:val="18"/>
          <w:lang w:val="es-ES" w:bidi="pt-PT"/>
        </w:rPr>
        <w:t>Com</w:t>
      </w:r>
      <w:proofErr w:type="spellEnd"/>
      <w:r w:rsidRPr="001762A5">
        <w:rPr>
          <w:color w:val="12354E" w:themeColor="accent1" w:themeShade="BF"/>
          <w:sz w:val="18"/>
          <w:lang w:val="es-ES" w:bidi="pt-PT"/>
        </w:rPr>
        <w:t xml:space="preserve"> base </w:t>
      </w:r>
      <w:proofErr w:type="spellStart"/>
      <w:r w:rsidRPr="001762A5">
        <w:rPr>
          <w:color w:val="12354E" w:themeColor="accent1" w:themeShade="BF"/>
          <w:sz w:val="18"/>
          <w:lang w:val="es-ES" w:bidi="pt-PT"/>
        </w:rPr>
        <w:t>numa</w:t>
      </w:r>
      <w:proofErr w:type="spellEnd"/>
      <w:r w:rsidRPr="001762A5">
        <w:rPr>
          <w:color w:val="12354E" w:themeColor="accent1" w:themeShade="BF"/>
          <w:sz w:val="18"/>
          <w:lang w:val="es-ES" w:bidi="pt-PT"/>
        </w:rPr>
        <w:t xml:space="preserve"> </w:t>
      </w:r>
      <w:proofErr w:type="spellStart"/>
      <w:r w:rsidRPr="001762A5">
        <w:rPr>
          <w:color w:val="12354E" w:themeColor="accent1" w:themeShade="BF"/>
          <w:sz w:val="18"/>
          <w:lang w:val="es-ES" w:bidi="pt-PT"/>
        </w:rPr>
        <w:t>análise</w:t>
      </w:r>
      <w:proofErr w:type="spellEnd"/>
      <w:r w:rsidRPr="001762A5">
        <w:rPr>
          <w:color w:val="12354E" w:themeColor="accent1" w:themeShade="BF"/>
          <w:sz w:val="18"/>
          <w:lang w:val="es-ES" w:bidi="pt-PT"/>
        </w:rPr>
        <w:t xml:space="preserve"> dos </w:t>
      </w:r>
      <w:proofErr w:type="spellStart"/>
      <w:r w:rsidRPr="001762A5">
        <w:rPr>
          <w:color w:val="12354E" w:themeColor="accent1" w:themeShade="BF"/>
          <w:sz w:val="18"/>
          <w:lang w:val="es-ES" w:bidi="pt-PT"/>
        </w:rPr>
        <w:t>processos</w:t>
      </w:r>
      <w:proofErr w:type="spellEnd"/>
      <w:r w:rsidRPr="001762A5">
        <w:rPr>
          <w:color w:val="12354E" w:themeColor="accent1" w:themeShade="BF"/>
          <w:sz w:val="18"/>
          <w:lang w:val="es-ES" w:bidi="pt-PT"/>
        </w:rPr>
        <w:t xml:space="preserve"> de consulta de </w:t>
      </w:r>
      <w:proofErr w:type="spellStart"/>
      <w:r w:rsidRPr="001762A5">
        <w:rPr>
          <w:color w:val="12354E" w:themeColor="accent1" w:themeShade="BF"/>
          <w:sz w:val="18"/>
          <w:lang w:val="es-ES" w:bidi="pt-PT"/>
        </w:rPr>
        <w:t>várias</w:t>
      </w:r>
      <w:proofErr w:type="spellEnd"/>
      <w:r w:rsidRPr="001762A5">
        <w:rPr>
          <w:color w:val="12354E" w:themeColor="accent1" w:themeShade="BF"/>
          <w:sz w:val="18"/>
          <w:lang w:val="es-ES" w:bidi="pt-PT"/>
        </w:rPr>
        <w:t xml:space="preserve"> partes </w:t>
      </w:r>
      <w:proofErr w:type="spellStart"/>
      <w:r w:rsidRPr="001762A5">
        <w:rPr>
          <w:color w:val="12354E" w:themeColor="accent1" w:themeShade="BF"/>
          <w:sz w:val="18"/>
          <w:lang w:val="es-ES" w:bidi="pt-PT"/>
        </w:rPr>
        <w:t>interessadas</w:t>
      </w:r>
      <w:proofErr w:type="spellEnd"/>
      <w:r w:rsidRPr="001762A5">
        <w:rPr>
          <w:color w:val="12354E" w:themeColor="accent1" w:themeShade="BF"/>
          <w:sz w:val="18"/>
          <w:lang w:val="es-ES" w:bidi="pt-PT"/>
        </w:rPr>
        <w:t xml:space="preserve"> para o relato sobre o ODS 6.5.1: </w:t>
      </w:r>
      <w:r w:rsidRPr="001762A5">
        <w:rPr>
          <w:color w:val="12354E" w:themeColor="accent1" w:themeShade="BF"/>
          <w:lang w:val="es-ES" w:bidi="pt-PT"/>
        </w:rPr>
        <w:t xml:space="preserve"> </w:t>
      </w:r>
      <w:hyperlink r:id="rId3" w:history="1">
        <w:r w:rsidRPr="00267629">
          <w:rPr>
            <w:rStyle w:val="Hyperlink"/>
            <w:sz w:val="18"/>
            <w:lang w:val="es-ES" w:bidi="pt-PT"/>
          </w:rPr>
          <w:t>https://www.gwp.org/en/sdg6support/MSPs/</w:t>
        </w:r>
      </w:hyperlink>
      <w:r w:rsidRPr="00267629">
        <w:rPr>
          <w:lang w:val="es-ES" w:bidi="pt-PT"/>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0BE3722"/>
    <w:multiLevelType w:val="multilevel"/>
    <w:tmpl w:val="8B84B174"/>
    <w:lvl w:ilvl="0">
      <w:start w:val="1"/>
      <w:numFmt w:val="decimal"/>
      <w:lvlText w:val="%1."/>
      <w:lvlJc w:val="left"/>
      <w:pPr>
        <w:ind w:left="360" w:hanging="360"/>
      </w:pPr>
      <w:rPr>
        <w:rFonts w:hint="default"/>
        <w:color w:val="0C2334" w:themeColor="accent1" w:themeShade="80"/>
      </w:rPr>
    </w:lvl>
    <w:lvl w:ilvl="1">
      <w:start w:val="1"/>
      <w:numFmt w:val="decimal"/>
      <w:lvlText w:val="%1.%2."/>
      <w:lvlJc w:val="left"/>
      <w:pPr>
        <w:ind w:left="0" w:firstLine="17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3"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8"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1"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3"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4"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8"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9"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1867213330">
    <w:abstractNumId w:val="13"/>
  </w:num>
  <w:num w:numId="2" w16cid:durableId="799808459">
    <w:abstractNumId w:val="18"/>
  </w:num>
  <w:num w:numId="3" w16cid:durableId="1013842529">
    <w:abstractNumId w:val="28"/>
  </w:num>
  <w:num w:numId="4" w16cid:durableId="219026266">
    <w:abstractNumId w:val="26"/>
  </w:num>
  <w:num w:numId="5" w16cid:durableId="2126674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08000573">
    <w:abstractNumId w:val="14"/>
  </w:num>
  <w:num w:numId="7" w16cid:durableId="47772404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92559802">
    <w:abstractNumId w:val="3"/>
  </w:num>
  <w:num w:numId="9" w16cid:durableId="549807621">
    <w:abstractNumId w:val="24"/>
  </w:num>
  <w:num w:numId="10" w16cid:durableId="1080449386">
    <w:abstractNumId w:val="22"/>
  </w:num>
  <w:num w:numId="11" w16cid:durableId="899828114">
    <w:abstractNumId w:val="1"/>
  </w:num>
  <w:num w:numId="12" w16cid:durableId="246693948">
    <w:abstractNumId w:val="8"/>
  </w:num>
  <w:num w:numId="13" w16cid:durableId="2028871969">
    <w:abstractNumId w:val="6"/>
  </w:num>
  <w:num w:numId="14" w16cid:durableId="443616253">
    <w:abstractNumId w:val="19"/>
  </w:num>
  <w:num w:numId="15" w16cid:durableId="40719424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68154596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2424464">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500393139">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21634504">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280987721">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686056901">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88779664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825241055">
    <w:abstractNumId w:val="1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9374014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618414449">
    <w:abstractNumId w:val="2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9135886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55797475">
    <w:abstractNumId w:val="2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97664203">
    <w:abstractNumId w:val="21"/>
  </w:num>
  <w:num w:numId="29" w16cid:durableId="1124543808">
    <w:abstractNumId w:val="11"/>
  </w:num>
  <w:num w:numId="30" w16cid:durableId="1415123105">
    <w:abstractNumId w:val="10"/>
  </w:num>
  <w:num w:numId="31" w16cid:durableId="245655301">
    <w:abstractNumId w:val="25"/>
  </w:num>
  <w:num w:numId="32" w16cid:durableId="3169252">
    <w:abstractNumId w:val="1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26F5A"/>
    <w:rsid w:val="00030CDA"/>
    <w:rsid w:val="00037028"/>
    <w:rsid w:val="000421CD"/>
    <w:rsid w:val="00072A4A"/>
    <w:rsid w:val="000753E2"/>
    <w:rsid w:val="00083BC4"/>
    <w:rsid w:val="000C284B"/>
    <w:rsid w:val="000C6D88"/>
    <w:rsid w:val="000E5AD0"/>
    <w:rsid w:val="001226CD"/>
    <w:rsid w:val="001236FA"/>
    <w:rsid w:val="001348B4"/>
    <w:rsid w:val="00137A02"/>
    <w:rsid w:val="0014426B"/>
    <w:rsid w:val="00174110"/>
    <w:rsid w:val="00174129"/>
    <w:rsid w:val="001762A5"/>
    <w:rsid w:val="0019109F"/>
    <w:rsid w:val="0019531E"/>
    <w:rsid w:val="0019594B"/>
    <w:rsid w:val="001A226E"/>
    <w:rsid w:val="001B35CA"/>
    <w:rsid w:val="001C7CCF"/>
    <w:rsid w:val="001D71EC"/>
    <w:rsid w:val="001E3DD4"/>
    <w:rsid w:val="001F45A2"/>
    <w:rsid w:val="002179BE"/>
    <w:rsid w:val="00217A87"/>
    <w:rsid w:val="00235F7A"/>
    <w:rsid w:val="00242C7B"/>
    <w:rsid w:val="00244D2A"/>
    <w:rsid w:val="00267629"/>
    <w:rsid w:val="0027042E"/>
    <w:rsid w:val="00296D4E"/>
    <w:rsid w:val="002A0CCF"/>
    <w:rsid w:val="002B08AA"/>
    <w:rsid w:val="002B1B0C"/>
    <w:rsid w:val="002D031F"/>
    <w:rsid w:val="002D1210"/>
    <w:rsid w:val="002D4607"/>
    <w:rsid w:val="002F13BE"/>
    <w:rsid w:val="003056B4"/>
    <w:rsid w:val="00321419"/>
    <w:rsid w:val="00342022"/>
    <w:rsid w:val="00345F82"/>
    <w:rsid w:val="00350EB9"/>
    <w:rsid w:val="00357599"/>
    <w:rsid w:val="003732C1"/>
    <w:rsid w:val="00382FD3"/>
    <w:rsid w:val="003867BA"/>
    <w:rsid w:val="003C0692"/>
    <w:rsid w:val="003C2E29"/>
    <w:rsid w:val="003D7EC1"/>
    <w:rsid w:val="003F6568"/>
    <w:rsid w:val="00405460"/>
    <w:rsid w:val="004134D1"/>
    <w:rsid w:val="004141A9"/>
    <w:rsid w:val="004347D5"/>
    <w:rsid w:val="00444243"/>
    <w:rsid w:val="004500D5"/>
    <w:rsid w:val="00450569"/>
    <w:rsid w:val="00455766"/>
    <w:rsid w:val="0045602F"/>
    <w:rsid w:val="004646E9"/>
    <w:rsid w:val="00483DB1"/>
    <w:rsid w:val="00485D3B"/>
    <w:rsid w:val="004903EE"/>
    <w:rsid w:val="004F4F46"/>
    <w:rsid w:val="00530BA8"/>
    <w:rsid w:val="005410E9"/>
    <w:rsid w:val="005550D4"/>
    <w:rsid w:val="0057073D"/>
    <w:rsid w:val="005C0751"/>
    <w:rsid w:val="005C4351"/>
    <w:rsid w:val="005C7E25"/>
    <w:rsid w:val="005E6318"/>
    <w:rsid w:val="006101CE"/>
    <w:rsid w:val="006114D9"/>
    <w:rsid w:val="00677B9C"/>
    <w:rsid w:val="0069465E"/>
    <w:rsid w:val="0069679F"/>
    <w:rsid w:val="006A7BDE"/>
    <w:rsid w:val="006C21B5"/>
    <w:rsid w:val="006E2EAE"/>
    <w:rsid w:val="006F203B"/>
    <w:rsid w:val="00717164"/>
    <w:rsid w:val="007216EF"/>
    <w:rsid w:val="007221C3"/>
    <w:rsid w:val="0074182F"/>
    <w:rsid w:val="007626D9"/>
    <w:rsid w:val="007642A2"/>
    <w:rsid w:val="007C3745"/>
    <w:rsid w:val="007E6CB6"/>
    <w:rsid w:val="007F2071"/>
    <w:rsid w:val="007F2931"/>
    <w:rsid w:val="008078E3"/>
    <w:rsid w:val="00844946"/>
    <w:rsid w:val="00861568"/>
    <w:rsid w:val="0088609C"/>
    <w:rsid w:val="00895442"/>
    <w:rsid w:val="008B4AB1"/>
    <w:rsid w:val="008B62D2"/>
    <w:rsid w:val="008C759E"/>
    <w:rsid w:val="008E2EB5"/>
    <w:rsid w:val="008E5D49"/>
    <w:rsid w:val="008F0094"/>
    <w:rsid w:val="008F467A"/>
    <w:rsid w:val="0090455F"/>
    <w:rsid w:val="009249F6"/>
    <w:rsid w:val="009271A8"/>
    <w:rsid w:val="0096136B"/>
    <w:rsid w:val="00970943"/>
    <w:rsid w:val="009819C7"/>
    <w:rsid w:val="00987A75"/>
    <w:rsid w:val="009C625F"/>
    <w:rsid w:val="009D20C4"/>
    <w:rsid w:val="009E4EB3"/>
    <w:rsid w:val="009F0B4A"/>
    <w:rsid w:val="00A00F8E"/>
    <w:rsid w:val="00A0315D"/>
    <w:rsid w:val="00A07C3D"/>
    <w:rsid w:val="00A12779"/>
    <w:rsid w:val="00A17D75"/>
    <w:rsid w:val="00A25463"/>
    <w:rsid w:val="00A36D48"/>
    <w:rsid w:val="00A43F19"/>
    <w:rsid w:val="00A5744D"/>
    <w:rsid w:val="00A76A59"/>
    <w:rsid w:val="00A86F47"/>
    <w:rsid w:val="00A91844"/>
    <w:rsid w:val="00A948E8"/>
    <w:rsid w:val="00A94D28"/>
    <w:rsid w:val="00AA32D5"/>
    <w:rsid w:val="00AC0882"/>
    <w:rsid w:val="00AC2500"/>
    <w:rsid w:val="00AF6624"/>
    <w:rsid w:val="00B0219D"/>
    <w:rsid w:val="00B06286"/>
    <w:rsid w:val="00B648A5"/>
    <w:rsid w:val="00B7728B"/>
    <w:rsid w:val="00B870E9"/>
    <w:rsid w:val="00BA194C"/>
    <w:rsid w:val="00BB59AC"/>
    <w:rsid w:val="00BC5008"/>
    <w:rsid w:val="00BD2B7A"/>
    <w:rsid w:val="00BF1F60"/>
    <w:rsid w:val="00BF63F2"/>
    <w:rsid w:val="00C140E8"/>
    <w:rsid w:val="00C200DE"/>
    <w:rsid w:val="00C31D43"/>
    <w:rsid w:val="00C44F69"/>
    <w:rsid w:val="00C45F55"/>
    <w:rsid w:val="00C4762A"/>
    <w:rsid w:val="00C529F7"/>
    <w:rsid w:val="00C604A2"/>
    <w:rsid w:val="00C616F2"/>
    <w:rsid w:val="00C671AF"/>
    <w:rsid w:val="00C9439A"/>
    <w:rsid w:val="00C9543D"/>
    <w:rsid w:val="00CB095F"/>
    <w:rsid w:val="00CB2F59"/>
    <w:rsid w:val="00CC54B2"/>
    <w:rsid w:val="00D15DEB"/>
    <w:rsid w:val="00D21046"/>
    <w:rsid w:val="00D22DEC"/>
    <w:rsid w:val="00D24BC4"/>
    <w:rsid w:val="00D34B5B"/>
    <w:rsid w:val="00D35F00"/>
    <w:rsid w:val="00D57092"/>
    <w:rsid w:val="00D6270B"/>
    <w:rsid w:val="00D76B83"/>
    <w:rsid w:val="00D83B26"/>
    <w:rsid w:val="00D8794C"/>
    <w:rsid w:val="00D91BD3"/>
    <w:rsid w:val="00DA2EB8"/>
    <w:rsid w:val="00DA544C"/>
    <w:rsid w:val="00DA7D4D"/>
    <w:rsid w:val="00DB34A5"/>
    <w:rsid w:val="00DB3AEA"/>
    <w:rsid w:val="00DB607D"/>
    <w:rsid w:val="00E43F05"/>
    <w:rsid w:val="00E62B85"/>
    <w:rsid w:val="00E755AC"/>
    <w:rsid w:val="00E97B08"/>
    <w:rsid w:val="00EB3205"/>
    <w:rsid w:val="00ED6AC3"/>
    <w:rsid w:val="00ED744C"/>
    <w:rsid w:val="00EF107B"/>
    <w:rsid w:val="00EF1F09"/>
    <w:rsid w:val="00EF3504"/>
    <w:rsid w:val="00F05855"/>
    <w:rsid w:val="00F53CD4"/>
    <w:rsid w:val="00FA42CA"/>
    <w:rsid w:val="00FC02BE"/>
    <w:rsid w:val="00FF6DD6"/>
    <w:rsid w:val="1C46DEE2"/>
    <w:rsid w:val="38472C44"/>
    <w:rsid w:val="6BE5B64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 w:type="character" w:customStyle="1" w:styleId="UnresolvedMention1">
    <w:name w:val="Unresolved Mention1"/>
    <w:basedOn w:val="DefaultParagraphFont"/>
    <w:uiPriority w:val="99"/>
    <w:semiHidden/>
    <w:unhideWhenUsed/>
    <w:rsid w:val="00B648A5"/>
    <w:rPr>
      <w:color w:val="605E5C"/>
      <w:shd w:val="clear" w:color="auto" w:fill="E1DFDD"/>
    </w:rPr>
  </w:style>
  <w:style w:type="character" w:customStyle="1" w:styleId="Mention1">
    <w:name w:val="Mention1"/>
    <w:basedOn w:val="DefaultParagraphFont"/>
    <w:uiPriority w:val="99"/>
    <w:unhideWhenUsed/>
    <w:rsid w:val="008F467A"/>
    <w:rPr>
      <w:color w:val="2B579A"/>
      <w:shd w:val="clear" w:color="auto" w:fill="E1DFDD"/>
    </w:rPr>
  </w:style>
  <w:style w:type="character" w:styleId="UnresolvedMention">
    <w:name w:val="Unresolved Mention"/>
    <w:basedOn w:val="DefaultParagraphFont"/>
    <w:uiPriority w:val="99"/>
    <w:semiHidden/>
    <w:unhideWhenUsed/>
    <w:rsid w:val="000370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13" Type="http://schemas.openxmlformats.org/officeDocument/2006/relationships/hyperlink" Target="https://www.gwp.org/en/sdg6support/" TargetMode="External"/><Relationship Id="rId18" Type="http://schemas.openxmlformats.org/officeDocument/2006/relationships/hyperlink" Target="https://www.gwp.org/en/partner/existing-partners/Partner-Search/" TargetMode="External"/><Relationship Id="rId26" Type="http://schemas.openxmlformats.org/officeDocument/2006/relationships/hyperlink" Target="https://unstats.un.org/sdgs/dataContacts/" TargetMode="External"/><Relationship Id="rId39" Type="http://schemas.openxmlformats.org/officeDocument/2006/relationships/diagramQuickStyle" Target="diagrams/quickStyle2.xml"/><Relationship Id="rId21" Type="http://schemas.openxmlformats.org/officeDocument/2006/relationships/hyperlink" Target="https://cap-net.org/the-network/" TargetMode="External"/><Relationship Id="rId34" Type="http://schemas.openxmlformats.org/officeDocument/2006/relationships/hyperlink" Target="http://iwrmdataportal.unepdhi.org/reportingmaterials" TargetMode="External"/><Relationship Id="rId42" Type="http://schemas.openxmlformats.org/officeDocument/2006/relationships/diagramData" Target="diagrams/data3.xml"/><Relationship Id="rId47" Type="http://schemas.openxmlformats.org/officeDocument/2006/relationships/hyperlink" Target="http://iwrmdataportal.unepdhi.org/reportingmaterials" TargetMode="External"/><Relationship Id="rId50" Type="http://schemas.openxmlformats.org/officeDocument/2006/relationships/hyperlink" Target="http://iwrmdataportal.unepdhi.org/reportingmaterials" TargetMode="External"/><Relationship Id="rId55" Type="http://schemas.openxmlformats.org/officeDocument/2006/relationships/hyperlink" Target="http://iwrmdataportal.unepdhi.org/reportingmaterials"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iwrmdataportal.unepdhi.org/reportingmaterials" TargetMode="External"/><Relationship Id="rId29" Type="http://schemas.openxmlformats.org/officeDocument/2006/relationships/diagramQuickStyle" Target="diagrams/quickStyle1.xml"/><Relationship Id="rId11" Type="http://schemas.openxmlformats.org/officeDocument/2006/relationships/image" Target="media/image1.png"/><Relationship Id="rId24" Type="http://schemas.openxmlformats.org/officeDocument/2006/relationships/hyperlink" Target="https://www.unwater.org/our-work/integrated-monitoring-initiative-sdg-6" TargetMode="External"/><Relationship Id="rId32" Type="http://schemas.openxmlformats.org/officeDocument/2006/relationships/hyperlink" Target="http://iwrmdataportal.unepdhi.org/reportingmaterials" TargetMode="External"/><Relationship Id="rId37" Type="http://schemas.openxmlformats.org/officeDocument/2006/relationships/diagramData" Target="diagrams/data2.xml"/><Relationship Id="rId40" Type="http://schemas.openxmlformats.org/officeDocument/2006/relationships/diagramColors" Target="diagrams/colors2.xml"/><Relationship Id="rId45" Type="http://schemas.openxmlformats.org/officeDocument/2006/relationships/diagramColors" Target="diagrams/colors3.xml"/><Relationship Id="rId53" Type="http://schemas.openxmlformats.org/officeDocument/2006/relationships/hyperlink" Target="http://iwrmdataportal.unepdhi.org/reportingmaterials" TargetMode="External"/><Relationship Id="rId58" Type="http://schemas.openxmlformats.org/officeDocument/2006/relationships/hyperlink" Target="http://iwrmdataportal.unepdhi.org/reportingmaterials" TargetMode="External"/><Relationship Id="rId5" Type="http://schemas.openxmlformats.org/officeDocument/2006/relationships/numbering" Target="numbering.xml"/><Relationship Id="rId61" Type="http://schemas.openxmlformats.org/officeDocument/2006/relationships/fontTable" Target="fontTable.xml"/><Relationship Id="rId19" Type="http://schemas.openxmlformats.org/officeDocument/2006/relationships/hyperlink" Target="https://www.gwp.org/en/partner/existing-partners/Partner-Search/" TargetMode="External"/><Relationship Id="rId14" Type="http://schemas.openxmlformats.org/officeDocument/2006/relationships/hyperlink" Target="mailto:sdg6iwrmsp@gwp.org" TargetMode="External"/><Relationship Id="rId22" Type="http://schemas.openxmlformats.org/officeDocument/2006/relationships/hyperlink" Target="mailto:iwrmsdg651@un.org" TargetMode="Externa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hyperlink" Target="http://iwrmdataportal.unepdhi.org/country-reports" TargetMode="External"/><Relationship Id="rId43" Type="http://schemas.openxmlformats.org/officeDocument/2006/relationships/diagramLayout" Target="diagrams/layout3.xml"/><Relationship Id="rId48" Type="http://schemas.openxmlformats.org/officeDocument/2006/relationships/hyperlink" Target="http://iwrmdataportal.unepdhi.org/reportingmaterials" TargetMode="External"/><Relationship Id="rId56" Type="http://schemas.openxmlformats.org/officeDocument/2006/relationships/hyperlink" Target="http://iwrmdataportal.unepdhi.org/reportingmaterials" TargetMode="External"/><Relationship Id="rId8" Type="http://schemas.openxmlformats.org/officeDocument/2006/relationships/webSettings" Target="webSettings.xml"/><Relationship Id="rId51" Type="http://schemas.openxmlformats.org/officeDocument/2006/relationships/hyperlink" Target="http://iwrmdataportal.unepdhi.org/reportingmaterials" TargetMode="External"/><Relationship Id="rId3" Type="http://schemas.openxmlformats.org/officeDocument/2006/relationships/customXml" Target="../customXml/item3.xml"/><Relationship Id="rId12" Type="http://schemas.openxmlformats.org/officeDocument/2006/relationships/hyperlink" Target="http://iwrmdataportal.unepdhi.org/reportingmaterials" TargetMode="External"/><Relationship Id="rId17" Type="http://schemas.openxmlformats.org/officeDocument/2006/relationships/hyperlink" Target="https://unsdg.un.org/un-in-action/country-level?tab=countries-listing" TargetMode="External"/><Relationship Id="rId25" Type="http://schemas.openxmlformats.org/officeDocument/2006/relationships/hyperlink" Target="https://www.unwater.org/publications/water-and-sanitation-interlinkages-across-2030-agenda-sustainable-development" TargetMode="External"/><Relationship Id="rId33" Type="http://schemas.openxmlformats.org/officeDocument/2006/relationships/hyperlink" Target="https://cap-net.org/sdg-6-iwrm-support-program/" TargetMode="External"/><Relationship Id="rId38" Type="http://schemas.openxmlformats.org/officeDocument/2006/relationships/diagramLayout" Target="diagrams/layout2.xml"/><Relationship Id="rId46" Type="http://schemas.microsoft.com/office/2007/relationships/diagramDrawing" Target="diagrams/drawing3.xml"/><Relationship Id="rId59" Type="http://schemas.openxmlformats.org/officeDocument/2006/relationships/header" Target="header1.xml"/><Relationship Id="rId20" Type="http://schemas.openxmlformats.org/officeDocument/2006/relationships/hyperlink" Target="https://cap-net.org/partners/" TargetMode="External"/><Relationship Id="rId41" Type="http://schemas.microsoft.com/office/2007/relationships/diagramDrawing" Target="diagrams/drawing2.xml"/><Relationship Id="rId54" Type="http://schemas.openxmlformats.org/officeDocument/2006/relationships/hyperlink" Target="http://iwrmdataportal.unepdhi.org/reportingmaterials"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iwrmsdg651@un.org" TargetMode="External"/><Relationship Id="rId23" Type="http://schemas.openxmlformats.org/officeDocument/2006/relationships/hyperlink" Target="http://iwrmdataportal.unepdhi.org/reportingmaterials" TargetMode="External"/><Relationship Id="rId28" Type="http://schemas.openxmlformats.org/officeDocument/2006/relationships/diagramLayout" Target="diagrams/layout1.xml"/><Relationship Id="rId36" Type="http://schemas.openxmlformats.org/officeDocument/2006/relationships/hyperlink" Target="https://www.gwp.org/en/sdg6support/sdgmap/?location=&amp;region=&amp;country=&amp;stage=1&amp;progress=0" TargetMode="External"/><Relationship Id="rId49" Type="http://schemas.openxmlformats.org/officeDocument/2006/relationships/hyperlink" Target="https://www.liberatingstructures.com/" TargetMode="External"/><Relationship Id="rId57" Type="http://schemas.openxmlformats.org/officeDocument/2006/relationships/hyperlink" Target="http://iwrmdataportal.unepdhi.org/reportingmaterials" TargetMode="External"/><Relationship Id="rId10" Type="http://schemas.openxmlformats.org/officeDocument/2006/relationships/endnotes" Target="endnotes.xml"/><Relationship Id="rId31" Type="http://schemas.microsoft.com/office/2007/relationships/diagramDrawing" Target="diagrams/drawing1.xml"/><Relationship Id="rId44" Type="http://schemas.openxmlformats.org/officeDocument/2006/relationships/diagramQuickStyle" Target="diagrams/quickStyle3.xml"/><Relationship Id="rId52" Type="http://schemas.openxmlformats.org/officeDocument/2006/relationships/hyperlink" Target="mailto:sdg6iwrmsp@gwp.org" TargetMode="External"/><Relationship Id="rId60"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3" Type="http://schemas.openxmlformats.org/officeDocument/2006/relationships/hyperlink" Target="https://www.gwp.org/en/sdg6support/MSPs/" TargetMode="External"/><Relationship Id="rId2" Type="http://schemas.openxmlformats.org/officeDocument/2006/relationships/hyperlink" Target="https://www.gwp.org/en/sdg6support/MSPs/" TargetMode="External"/><Relationship Id="rId1" Type="http://schemas.openxmlformats.org/officeDocument/2006/relationships/hyperlink" Target="https://www.gwp.org/en/sdg6support/MSP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5ABB97B-95A6-4269-AB4A-6E2BB4182A1E}" type="doc">
      <dgm:prSet loTypeId="urn:microsoft.com/office/officeart/2005/8/layout/chevron1" loCatId="process" qsTypeId="urn:microsoft.com/office/officeart/2005/8/quickstyle/simple5" qsCatId="simple" csTypeId="urn:microsoft.com/office/officeart/2005/8/colors/colorful5" csCatId="colorful" phldr="1"/>
      <dgm:spPr/>
    </dgm:pt>
    <dgm:pt modelId="{FAFDD208-6573-4E6B-A790-B716EDA5E2B0}">
      <dgm:prSet phldrT="[Text]"/>
      <dgm:spPr>
        <a:xfrm>
          <a:off x="2643" y="350367"/>
          <a:ext cx="1539046" cy="615618"/>
        </a:xfrm>
        <a:solidFill>
          <a:schemeClr val="accent1"/>
        </a:solidFill>
        <a:ln>
          <a:noFill/>
        </a:ln>
        <a:effectLst>
          <a:outerShdw blurRad="57150" dist="19050" dir="5400000" algn="ctr" rotWithShape="0">
            <a:srgbClr val="000000">
              <a:alpha val="63000"/>
            </a:srgbClr>
          </a:outerShdw>
        </a:effectLst>
      </dgm:spPr>
      <dgm:t>
        <a:bodyPr/>
        <a:lstStyle/>
        <a:p>
          <a:r>
            <a:rPr lang="en-US"/>
            <a:t>Preparação</a:t>
          </a:r>
          <a:endParaRPr lang="en-US">
            <a:solidFill>
              <a:sysClr val="window" lastClr="FFFFFF"/>
            </a:solidFill>
            <a:latin typeface="Calibri" panose="020F0502020204030204"/>
            <a:ea typeface="+mn-ea"/>
            <a:cs typeface="+mn-cs"/>
          </a:endParaRPr>
        </a:p>
      </dgm:t>
    </dgm:pt>
    <dgm:pt modelId="{104AC39B-8461-4459-AC3E-1A32A7B003AD}" type="parTrans" cxnId="{164991F2-ACE9-46C5-8BC8-F794D09F3CB7}">
      <dgm:prSet/>
      <dgm:spPr/>
      <dgm:t>
        <a:bodyPr/>
        <a:lstStyle/>
        <a:p>
          <a:endParaRPr lang="en-US"/>
        </a:p>
      </dgm:t>
    </dgm:pt>
    <dgm:pt modelId="{66FD69B5-25AC-44FD-81CC-F81B05E0E594}" type="sibTrans" cxnId="{164991F2-ACE9-46C5-8BC8-F794D09F3CB7}">
      <dgm:prSet/>
      <dgm:spPr/>
      <dgm:t>
        <a:bodyPr/>
        <a:lstStyle/>
        <a:p>
          <a:endParaRPr lang="en-US"/>
        </a:p>
      </dgm:t>
    </dgm:pt>
    <dgm:pt modelId="{C07BDCC3-922F-4760-8C3A-FDC48D0CA9DB}">
      <dgm:prSet phldrT="[Text]"/>
      <dgm:spPr>
        <a:xfrm>
          <a:off x="2772927" y="350367"/>
          <a:ext cx="1539046" cy="615618"/>
        </a:xfrm>
        <a:solidFill>
          <a:schemeClr val="accent3"/>
        </a:solidFill>
        <a:ln>
          <a:noFill/>
        </a:ln>
        <a:effectLst>
          <a:outerShdw blurRad="57150" dist="19050" dir="5400000" algn="ctr" rotWithShape="0">
            <a:srgbClr val="000000">
              <a:alpha val="63000"/>
            </a:srgbClr>
          </a:outerShdw>
        </a:effectLst>
      </dgm:spPr>
      <dgm:t>
        <a:bodyPr/>
        <a:lstStyle/>
        <a:p>
          <a:r>
            <a:rPr lang="en-US"/>
            <a:t>Entrega</a:t>
          </a:r>
          <a:endParaRPr lang="en-US">
            <a:solidFill>
              <a:sysClr val="window" lastClr="FFFFFF"/>
            </a:solidFill>
            <a:latin typeface="Calibri" panose="020F0502020204030204"/>
            <a:ea typeface="+mn-ea"/>
            <a:cs typeface="+mn-cs"/>
          </a:endParaRPr>
        </a:p>
      </dgm:t>
    </dgm:pt>
    <dgm:pt modelId="{6D84F5D5-2536-48BD-AF4D-6DAD53BFF253}" type="parTrans" cxnId="{59A21C87-6CF1-4BB9-83A8-D2C5691D1A62}">
      <dgm:prSet/>
      <dgm:spPr/>
      <dgm:t>
        <a:bodyPr/>
        <a:lstStyle/>
        <a:p>
          <a:endParaRPr lang="en-US"/>
        </a:p>
      </dgm:t>
    </dgm:pt>
    <dgm:pt modelId="{43786BA0-1030-4D05-993C-40090C655A30}" type="sibTrans" cxnId="{59A21C87-6CF1-4BB9-83A8-D2C5691D1A62}">
      <dgm:prSet/>
      <dgm:spPr/>
      <dgm:t>
        <a:bodyPr/>
        <a:lstStyle/>
        <a:p>
          <a:endParaRPr lang="en-US"/>
        </a:p>
      </dgm:t>
    </dgm:pt>
    <dgm:pt modelId="{5DBE37FD-DDBF-44EF-AAA5-09C94C3662E2}">
      <dgm:prSet phldrT="[Text]"/>
      <dgm:spPr>
        <a:xfrm>
          <a:off x="4158068" y="350367"/>
          <a:ext cx="1539046" cy="615618"/>
        </a:xfrm>
        <a:solidFill>
          <a:schemeClr val="accent4"/>
        </a:solidFill>
        <a:ln>
          <a:noFill/>
        </a:ln>
        <a:effectLst>
          <a:outerShdw blurRad="57150" dist="19050" dir="5400000" algn="ctr" rotWithShape="0">
            <a:srgbClr val="000000">
              <a:alpha val="63000"/>
            </a:srgbClr>
          </a:outerShdw>
        </a:effectLst>
      </dgm:spPr>
      <dgm:t>
        <a:bodyPr/>
        <a:lstStyle/>
        <a:p>
          <a:r>
            <a:rPr lang="en-US"/>
            <a:t>Seguimento</a:t>
          </a:r>
          <a:endParaRPr lang="en-US">
            <a:solidFill>
              <a:sysClr val="window" lastClr="FFFFFF"/>
            </a:solidFill>
            <a:latin typeface="Calibri" panose="020F0502020204030204"/>
            <a:ea typeface="+mn-ea"/>
            <a:cs typeface="+mn-cs"/>
          </a:endParaRPr>
        </a:p>
      </dgm:t>
    </dgm:pt>
    <dgm:pt modelId="{53A3F28A-38EA-4A90-80A6-923939893DF6}" type="parTrans" cxnId="{72259F87-24C3-4B35-BE35-7A68E3D81C34}">
      <dgm:prSet/>
      <dgm:spPr/>
      <dgm:t>
        <a:bodyPr/>
        <a:lstStyle/>
        <a:p>
          <a:endParaRPr lang="en-US"/>
        </a:p>
      </dgm:t>
    </dgm:pt>
    <dgm:pt modelId="{EB837D52-8D43-494A-9573-67F41D98866A}" type="sibTrans" cxnId="{72259F87-24C3-4B35-BE35-7A68E3D81C34}">
      <dgm:prSet/>
      <dgm:spPr/>
      <dgm:t>
        <a:bodyPr/>
        <a:lstStyle/>
        <a:p>
          <a:endParaRPr lang="en-US"/>
        </a:p>
      </dgm:t>
    </dgm:pt>
    <dgm:pt modelId="{3776B13C-9259-4A29-A979-F0B7DB1036AB}">
      <dgm:prSet phldrT="[Text]"/>
      <dgm:spPr>
        <a:xfrm>
          <a:off x="1387785" y="350367"/>
          <a:ext cx="1539046" cy="615618"/>
        </a:xfrm>
        <a:solidFill>
          <a:schemeClr val="accent2"/>
        </a:solidFill>
        <a:ln>
          <a:noFill/>
        </a:ln>
        <a:effectLst>
          <a:outerShdw blurRad="57150" dist="19050" dir="5400000" algn="ctr" rotWithShape="0">
            <a:srgbClr val="000000">
              <a:alpha val="63000"/>
            </a:srgbClr>
          </a:outerShdw>
        </a:effectLst>
      </dgm:spPr>
      <dgm:t>
        <a:bodyPr/>
        <a:lstStyle/>
        <a:p>
          <a:r>
            <a:rPr lang="en-US"/>
            <a:t>Consulta</a:t>
          </a:r>
          <a:endParaRPr lang="en-US">
            <a:solidFill>
              <a:sysClr val="window" lastClr="FFFFFF"/>
            </a:solidFill>
            <a:latin typeface="Calibri" panose="020F0502020204030204"/>
            <a:ea typeface="+mn-ea"/>
            <a:cs typeface="+mn-cs"/>
          </a:endParaRPr>
        </a:p>
      </dgm:t>
    </dgm:pt>
    <dgm:pt modelId="{871D206C-0FBB-45F1-8CE6-FDB0531FD7C1}" type="parTrans" cxnId="{A9972D5F-0C39-49CD-A583-550C3751EE0A}">
      <dgm:prSet/>
      <dgm:spPr/>
      <dgm:t>
        <a:bodyPr/>
        <a:lstStyle/>
        <a:p>
          <a:endParaRPr lang="en-US"/>
        </a:p>
      </dgm:t>
    </dgm:pt>
    <dgm:pt modelId="{662BFE48-A795-45E6-A1F8-48CDF32AFDF7}" type="sibTrans" cxnId="{A9972D5F-0C39-49CD-A583-550C3751EE0A}">
      <dgm:prSet/>
      <dgm:spPr/>
      <dgm:t>
        <a:bodyPr/>
        <a:lstStyle/>
        <a:p>
          <a:endParaRPr lang="en-US"/>
        </a:p>
      </dgm:t>
    </dgm:pt>
    <dgm:pt modelId="{4E8087B2-B8D1-40BA-8457-49C7562ABBFF}" type="pres">
      <dgm:prSet presAssocID="{65ABB97B-95A6-4269-AB4A-6E2BB4182A1E}" presName="Name0" presStyleCnt="0">
        <dgm:presLayoutVars>
          <dgm:dir/>
          <dgm:animLvl val="lvl"/>
          <dgm:resizeHandles val="exact"/>
        </dgm:presLayoutVars>
      </dgm:prSet>
      <dgm:spPr/>
    </dgm:pt>
    <dgm:pt modelId="{BF55C601-19C5-4573-83E7-37B8EEC82D47}" type="pres">
      <dgm:prSet presAssocID="{FAFDD208-6573-4E6B-A790-B716EDA5E2B0}" presName="parTxOnly" presStyleLbl="node1" presStyleIdx="0" presStyleCnt="4">
        <dgm:presLayoutVars>
          <dgm:chMax val="0"/>
          <dgm:chPref val="0"/>
          <dgm:bulletEnabled val="1"/>
        </dgm:presLayoutVars>
      </dgm:prSet>
      <dgm:spPr>
        <a:prstGeom prst="chevron">
          <a:avLst/>
        </a:prstGeom>
      </dgm:spPr>
    </dgm:pt>
    <dgm:pt modelId="{E8FA096B-0919-44B4-80BD-B20374CF3154}" type="pres">
      <dgm:prSet presAssocID="{66FD69B5-25AC-44FD-81CC-F81B05E0E594}" presName="parTxOnlySpace" presStyleCnt="0"/>
      <dgm:spPr/>
    </dgm:pt>
    <dgm:pt modelId="{20EDB000-4296-4EA4-969F-A501FBE509BF}" type="pres">
      <dgm:prSet presAssocID="{3776B13C-9259-4A29-A979-F0B7DB1036AB}" presName="parTxOnly" presStyleLbl="node1" presStyleIdx="1" presStyleCnt="4">
        <dgm:presLayoutVars>
          <dgm:chMax val="0"/>
          <dgm:chPref val="0"/>
          <dgm:bulletEnabled val="1"/>
        </dgm:presLayoutVars>
      </dgm:prSet>
      <dgm:spPr>
        <a:prstGeom prst="chevron">
          <a:avLst/>
        </a:prstGeom>
      </dgm:spPr>
    </dgm:pt>
    <dgm:pt modelId="{4D8B06B4-426F-44D9-813D-A3B127612CC8}" type="pres">
      <dgm:prSet presAssocID="{662BFE48-A795-45E6-A1F8-48CDF32AFDF7}" presName="parTxOnlySpace" presStyleCnt="0"/>
      <dgm:spPr/>
    </dgm:pt>
    <dgm:pt modelId="{5E8CB7E8-80D3-45DE-AA24-AB9F0929B6D8}" type="pres">
      <dgm:prSet presAssocID="{C07BDCC3-922F-4760-8C3A-FDC48D0CA9DB}" presName="parTxOnly" presStyleLbl="node1" presStyleIdx="2" presStyleCnt="4">
        <dgm:presLayoutVars>
          <dgm:chMax val="0"/>
          <dgm:chPref val="0"/>
          <dgm:bulletEnabled val="1"/>
        </dgm:presLayoutVars>
      </dgm:prSet>
      <dgm:spPr>
        <a:prstGeom prst="chevron">
          <a:avLst/>
        </a:prstGeom>
      </dgm:spPr>
    </dgm:pt>
    <dgm:pt modelId="{4663A465-DBF0-463D-A9ED-07595FFE57AA}" type="pres">
      <dgm:prSet presAssocID="{43786BA0-1030-4D05-993C-40090C655A30}" presName="parTxOnlySpace" presStyleCnt="0"/>
      <dgm:spPr/>
    </dgm:pt>
    <dgm:pt modelId="{C7325324-0314-4D59-B2B8-17C9B2BF1837}" type="pres">
      <dgm:prSet presAssocID="{5DBE37FD-DDBF-44EF-AAA5-09C94C3662E2}" presName="parTxOnly" presStyleLbl="node1" presStyleIdx="3" presStyleCnt="4">
        <dgm:presLayoutVars>
          <dgm:chMax val="0"/>
          <dgm:chPref val="0"/>
          <dgm:bulletEnabled val="1"/>
        </dgm:presLayoutVars>
      </dgm:prSet>
      <dgm:spPr>
        <a:prstGeom prst="chevron">
          <a:avLst/>
        </a:prstGeom>
      </dgm:spPr>
    </dgm:pt>
  </dgm:ptLst>
  <dgm:cxnLst>
    <dgm:cxn modelId="{EFC1F214-0A52-494C-843B-77D32413E9AF}" type="presOf" srcId="{65ABB97B-95A6-4269-AB4A-6E2BB4182A1E}" destId="{4E8087B2-B8D1-40BA-8457-49C7562ABBFF}" srcOrd="0" destOrd="0" presId="urn:microsoft.com/office/officeart/2005/8/layout/chevron1"/>
    <dgm:cxn modelId="{D0F62D16-5E06-466E-B61B-3773D7FD6778}" type="presOf" srcId="{C07BDCC3-922F-4760-8C3A-FDC48D0CA9DB}" destId="{5E8CB7E8-80D3-45DE-AA24-AB9F0929B6D8}" srcOrd="0" destOrd="0" presId="urn:microsoft.com/office/officeart/2005/8/layout/chevron1"/>
    <dgm:cxn modelId="{A9972D5F-0C39-49CD-A583-550C3751EE0A}" srcId="{65ABB97B-95A6-4269-AB4A-6E2BB4182A1E}" destId="{3776B13C-9259-4A29-A979-F0B7DB1036AB}" srcOrd="1" destOrd="0" parTransId="{871D206C-0FBB-45F1-8CE6-FDB0531FD7C1}" sibTransId="{662BFE48-A795-45E6-A1F8-48CDF32AFDF7}"/>
    <dgm:cxn modelId="{22B10F45-C876-4786-8888-C07A8D0C53F4}" type="presOf" srcId="{5DBE37FD-DDBF-44EF-AAA5-09C94C3662E2}" destId="{C7325324-0314-4D59-B2B8-17C9B2BF1837}" srcOrd="0" destOrd="0" presId="urn:microsoft.com/office/officeart/2005/8/layout/chevron1"/>
    <dgm:cxn modelId="{D7D01647-7E6D-4F6C-B6CC-08659CCA05F1}" type="presOf" srcId="{FAFDD208-6573-4E6B-A790-B716EDA5E2B0}" destId="{BF55C601-19C5-4573-83E7-37B8EEC82D47}" srcOrd="0" destOrd="0" presId="urn:microsoft.com/office/officeart/2005/8/layout/chevron1"/>
    <dgm:cxn modelId="{59A21C87-6CF1-4BB9-83A8-D2C5691D1A62}" srcId="{65ABB97B-95A6-4269-AB4A-6E2BB4182A1E}" destId="{C07BDCC3-922F-4760-8C3A-FDC48D0CA9DB}" srcOrd="2" destOrd="0" parTransId="{6D84F5D5-2536-48BD-AF4D-6DAD53BFF253}" sibTransId="{43786BA0-1030-4D05-993C-40090C655A30}"/>
    <dgm:cxn modelId="{72259F87-24C3-4B35-BE35-7A68E3D81C34}" srcId="{65ABB97B-95A6-4269-AB4A-6E2BB4182A1E}" destId="{5DBE37FD-DDBF-44EF-AAA5-09C94C3662E2}" srcOrd="3" destOrd="0" parTransId="{53A3F28A-38EA-4A90-80A6-923939893DF6}" sibTransId="{EB837D52-8D43-494A-9573-67F41D98866A}"/>
    <dgm:cxn modelId="{FBE66E8E-01EF-464A-A6F4-78A8804CC0D9}" type="presOf" srcId="{3776B13C-9259-4A29-A979-F0B7DB1036AB}" destId="{20EDB000-4296-4EA4-969F-A501FBE509BF}" srcOrd="0" destOrd="0" presId="urn:microsoft.com/office/officeart/2005/8/layout/chevron1"/>
    <dgm:cxn modelId="{164991F2-ACE9-46C5-8BC8-F794D09F3CB7}" srcId="{65ABB97B-95A6-4269-AB4A-6E2BB4182A1E}" destId="{FAFDD208-6573-4E6B-A790-B716EDA5E2B0}" srcOrd="0" destOrd="0" parTransId="{104AC39B-8461-4459-AC3E-1A32A7B003AD}" sibTransId="{66FD69B5-25AC-44FD-81CC-F81B05E0E594}"/>
    <dgm:cxn modelId="{B7D06D8D-5CD3-4A2E-9D50-573842D14805}" type="presParOf" srcId="{4E8087B2-B8D1-40BA-8457-49C7562ABBFF}" destId="{BF55C601-19C5-4573-83E7-37B8EEC82D47}" srcOrd="0" destOrd="0" presId="urn:microsoft.com/office/officeart/2005/8/layout/chevron1"/>
    <dgm:cxn modelId="{C9FC6EB1-C159-4717-9F6E-A79E45A1EDB1}" type="presParOf" srcId="{4E8087B2-B8D1-40BA-8457-49C7562ABBFF}" destId="{E8FA096B-0919-44B4-80BD-B20374CF3154}" srcOrd="1" destOrd="0" presId="urn:microsoft.com/office/officeart/2005/8/layout/chevron1"/>
    <dgm:cxn modelId="{A3E74557-294C-4570-8FD9-500A390E6A47}" type="presParOf" srcId="{4E8087B2-B8D1-40BA-8457-49C7562ABBFF}" destId="{20EDB000-4296-4EA4-969F-A501FBE509BF}" srcOrd="2" destOrd="0" presId="urn:microsoft.com/office/officeart/2005/8/layout/chevron1"/>
    <dgm:cxn modelId="{5ECEC3DF-0AE2-4A8A-B1F2-A64D93FFE2C1}" type="presParOf" srcId="{4E8087B2-B8D1-40BA-8457-49C7562ABBFF}" destId="{4D8B06B4-426F-44D9-813D-A3B127612CC8}" srcOrd="3" destOrd="0" presId="urn:microsoft.com/office/officeart/2005/8/layout/chevron1"/>
    <dgm:cxn modelId="{F1B77BF5-C475-4F9F-926D-FF60538B03B5}" type="presParOf" srcId="{4E8087B2-B8D1-40BA-8457-49C7562ABBFF}" destId="{5E8CB7E8-80D3-45DE-AA24-AB9F0929B6D8}" srcOrd="4" destOrd="0" presId="urn:microsoft.com/office/officeart/2005/8/layout/chevron1"/>
    <dgm:cxn modelId="{6FB61F5D-2034-47F5-89C7-FD15DB9933C9}" type="presParOf" srcId="{4E8087B2-B8D1-40BA-8457-49C7562ABBFF}" destId="{4663A465-DBF0-463D-A9ED-07595FFE57AA}" srcOrd="5" destOrd="0" presId="urn:microsoft.com/office/officeart/2005/8/layout/chevron1"/>
    <dgm:cxn modelId="{56325CC8-9497-40B7-8BDA-9694113B545C}" type="presParOf" srcId="{4E8087B2-B8D1-40BA-8457-49C7562ABBFF}" destId="{C7325324-0314-4D59-B2B8-17C9B2BF1837}" srcOrd="6" destOrd="0" presId="urn:microsoft.com/office/officeart/2005/8/layout/chevron1"/>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B106909-8F3D-4F49-B2A4-CAFFD62AF3B6}" type="doc">
      <dgm:prSet loTypeId="urn:microsoft.com/office/officeart/2005/8/layout/process1" loCatId="process" qsTypeId="urn:microsoft.com/office/officeart/2005/8/quickstyle/simple1" qsCatId="simple" csTypeId="urn:microsoft.com/office/officeart/2005/8/colors/colorful5" csCatId="colorful" phldr="1"/>
      <dgm:spPr/>
      <dgm:t>
        <a:bodyPr/>
        <a:lstStyle/>
        <a:p>
          <a:endParaRPr lang="en-GB"/>
        </a:p>
      </dgm:t>
    </dgm:pt>
    <dgm:pt modelId="{2C7BD89C-2CCF-4F40-8DD4-137B818596A6}">
      <dgm:prSet phldrT="[Text]" custT="1"/>
      <dgm:spPr>
        <a:solidFill>
          <a:schemeClr val="accent4"/>
        </a:solidFill>
      </dgm:spPr>
      <dgm:t>
        <a:bodyPr/>
        <a:lstStyle/>
        <a:p>
          <a:pPr algn="l"/>
          <a:r>
            <a:rPr lang="en-GB" sz="1000" b="1"/>
            <a:t>Versão 1</a:t>
          </a:r>
        </a:p>
        <a:p>
          <a:pPr algn="l"/>
          <a:r>
            <a:rPr lang="en-GB" sz="1000"/>
            <a:t>Equipa principal (por exemplo: ponto focal do ODS 6.5.1, facilitador, representantes do governo) revê o inquérito.</a:t>
          </a:r>
          <a:endParaRPr lang="en-GB" sz="1000" b="1"/>
        </a:p>
      </dgm:t>
    </dgm:pt>
    <dgm:pt modelId="{057B4B13-560F-4991-93C1-DDED76F0B70F}" type="parTrans" cxnId="{FDEAE678-D45C-49B3-B868-5E246481489C}">
      <dgm:prSet/>
      <dgm:spPr/>
      <dgm:t>
        <a:bodyPr/>
        <a:lstStyle/>
        <a:p>
          <a:endParaRPr lang="en-GB" sz="1000"/>
        </a:p>
      </dgm:t>
    </dgm:pt>
    <dgm:pt modelId="{BBBA7028-7D3A-4D97-8108-62FC1D35C066}" type="sibTrans" cxnId="{FDEAE678-D45C-49B3-B868-5E246481489C}">
      <dgm:prSet custT="1"/>
      <dgm:spPr>
        <a:solidFill>
          <a:schemeClr val="accent1"/>
        </a:solidFill>
      </dgm:spPr>
      <dgm:t>
        <a:bodyPr/>
        <a:lstStyle/>
        <a:p>
          <a:endParaRPr lang="en-GB" sz="1000"/>
        </a:p>
      </dgm:t>
    </dgm:pt>
    <dgm:pt modelId="{79704A19-0FAB-48FB-A2A9-126A598C5DEE}">
      <dgm:prSet phldrT="[Text]" custT="1"/>
      <dgm:spPr>
        <a:solidFill>
          <a:schemeClr val="accent4"/>
        </a:solidFill>
      </dgm:spPr>
      <dgm:t>
        <a:bodyPr/>
        <a:lstStyle/>
        <a:p>
          <a:pPr algn="l"/>
          <a:r>
            <a:rPr lang="en-GB" sz="1000" b="1"/>
            <a:t>Versão 2</a:t>
          </a:r>
        </a:p>
        <a:p>
          <a:pPr algn="l"/>
          <a:r>
            <a:rPr lang="en-GB" sz="1000"/>
            <a:t>Partes interessadas do governo reveem inquérito.</a:t>
          </a:r>
          <a:endParaRPr lang="en-GB" sz="1000" b="1"/>
        </a:p>
      </dgm:t>
    </dgm:pt>
    <dgm:pt modelId="{BB13C64A-34E9-4ADF-9546-0A47BF1B51EA}" type="parTrans" cxnId="{E218E757-6AF7-4B3A-9AC6-43828BF501BA}">
      <dgm:prSet/>
      <dgm:spPr/>
      <dgm:t>
        <a:bodyPr/>
        <a:lstStyle/>
        <a:p>
          <a:endParaRPr lang="en-GB" sz="1000"/>
        </a:p>
      </dgm:t>
    </dgm:pt>
    <dgm:pt modelId="{0E32ABF9-1D78-4C4E-A687-48A5D7392632}" type="sibTrans" cxnId="{E218E757-6AF7-4B3A-9AC6-43828BF501BA}">
      <dgm:prSet custT="1"/>
      <dgm:spPr>
        <a:solidFill>
          <a:schemeClr val="accent1"/>
        </a:solidFill>
      </dgm:spPr>
      <dgm:t>
        <a:bodyPr/>
        <a:lstStyle/>
        <a:p>
          <a:endParaRPr lang="en-GB" sz="1000"/>
        </a:p>
      </dgm:t>
    </dgm:pt>
    <dgm:pt modelId="{E55A7F75-1858-4578-BEF5-84B052A939E0}">
      <dgm:prSet phldrT="[Text]" custT="1"/>
      <dgm:spPr>
        <a:solidFill>
          <a:schemeClr val="accent4"/>
        </a:solidFill>
      </dgm:spPr>
      <dgm:t>
        <a:bodyPr/>
        <a:lstStyle/>
        <a:p>
          <a:pPr algn="l"/>
          <a:r>
            <a:rPr lang="en-GB" sz="1000" b="1"/>
            <a:t>Versão 3</a:t>
          </a:r>
        </a:p>
        <a:p>
          <a:pPr algn="l"/>
          <a:r>
            <a:rPr lang="en-GB" sz="1000" i="1"/>
            <a:t>Workshop </a:t>
          </a:r>
          <a:r>
            <a:rPr lang="en-GB" sz="1000"/>
            <a:t>com várias partes interessadas para rever/validar o inquérito.</a:t>
          </a:r>
          <a:endParaRPr lang="en-GB" sz="1000" b="1"/>
        </a:p>
      </dgm:t>
    </dgm:pt>
    <dgm:pt modelId="{1C4ECC27-58BF-41BE-89FA-E142D03A1224}" type="parTrans" cxnId="{3231836D-07ED-4AA5-948D-C3507C94C829}">
      <dgm:prSet/>
      <dgm:spPr/>
      <dgm:t>
        <a:bodyPr/>
        <a:lstStyle/>
        <a:p>
          <a:endParaRPr lang="en-GB" sz="1000"/>
        </a:p>
      </dgm:t>
    </dgm:pt>
    <dgm:pt modelId="{CC3910CA-ACCF-40D5-9389-8627A91A42E2}" type="sibTrans" cxnId="{3231836D-07ED-4AA5-948D-C3507C94C829}">
      <dgm:prSet custT="1"/>
      <dgm:spPr>
        <a:solidFill>
          <a:schemeClr val="accent1"/>
        </a:solidFill>
      </dgm:spPr>
      <dgm:t>
        <a:bodyPr/>
        <a:lstStyle/>
        <a:p>
          <a:endParaRPr lang="en-GB" sz="1000"/>
        </a:p>
      </dgm:t>
    </dgm:pt>
    <dgm:pt modelId="{529A6636-ABA1-4C82-B945-827406C09C6C}">
      <dgm:prSet phldrT="[Text]" custT="1"/>
      <dgm:spPr>
        <a:solidFill>
          <a:schemeClr val="accent4"/>
        </a:solidFill>
      </dgm:spPr>
      <dgm:t>
        <a:bodyPr/>
        <a:lstStyle/>
        <a:p>
          <a:pPr algn="l"/>
          <a:r>
            <a:rPr lang="en-GB" sz="1000" b="1"/>
            <a:t>Versão final</a:t>
          </a:r>
        </a:p>
        <a:p>
          <a:pPr algn="l"/>
          <a:r>
            <a:rPr lang="en-GB" sz="1000"/>
            <a:t>Equipa principal analisa as informações e finaliza o inquérito. Ponto Focal envia versão final ao PNUA.</a:t>
          </a:r>
          <a:endParaRPr lang="en-GB" sz="1000" b="1"/>
        </a:p>
      </dgm:t>
    </dgm:pt>
    <dgm:pt modelId="{E0508EA2-75D1-4F29-A97C-49812FF67295}" type="parTrans" cxnId="{D5CADC46-2BAC-4CB0-ADCE-279A1DC183B8}">
      <dgm:prSet/>
      <dgm:spPr/>
      <dgm:t>
        <a:bodyPr/>
        <a:lstStyle/>
        <a:p>
          <a:endParaRPr lang="en-GB" sz="1000"/>
        </a:p>
      </dgm:t>
    </dgm:pt>
    <dgm:pt modelId="{7C5B45CD-49B8-412C-9201-C4C2F9F32ECD}" type="sibTrans" cxnId="{D5CADC46-2BAC-4CB0-ADCE-279A1DC183B8}">
      <dgm:prSet/>
      <dgm:spPr/>
      <dgm:t>
        <a:bodyPr/>
        <a:lstStyle/>
        <a:p>
          <a:endParaRPr lang="en-GB" sz="1000"/>
        </a:p>
      </dgm:t>
    </dgm:pt>
    <dgm:pt modelId="{FC106771-7EDF-40EC-93B5-4862554AE165}" type="pres">
      <dgm:prSet presAssocID="{AB106909-8F3D-4F49-B2A4-CAFFD62AF3B6}" presName="Name0" presStyleCnt="0">
        <dgm:presLayoutVars>
          <dgm:dir/>
          <dgm:resizeHandles val="exact"/>
        </dgm:presLayoutVars>
      </dgm:prSet>
      <dgm:spPr/>
    </dgm:pt>
    <dgm:pt modelId="{7BC8D991-4B4B-44EB-B627-8305834F9F32}" type="pres">
      <dgm:prSet presAssocID="{2C7BD89C-2CCF-4F40-8DD4-137B818596A6}" presName="node" presStyleLbl="node1" presStyleIdx="0" presStyleCnt="4" custScaleX="132579">
        <dgm:presLayoutVars>
          <dgm:bulletEnabled val="1"/>
        </dgm:presLayoutVars>
      </dgm:prSet>
      <dgm:spPr/>
    </dgm:pt>
    <dgm:pt modelId="{D7483DED-499F-4752-9B30-9CF0B7D7CC19}" type="pres">
      <dgm:prSet presAssocID="{BBBA7028-7D3A-4D97-8108-62FC1D35C066}" presName="sibTrans" presStyleLbl="sibTrans2D1" presStyleIdx="0" presStyleCnt="3"/>
      <dgm:spPr/>
    </dgm:pt>
    <dgm:pt modelId="{BB8581BF-9E3C-4DC2-B973-AB6E78571E9E}" type="pres">
      <dgm:prSet presAssocID="{BBBA7028-7D3A-4D97-8108-62FC1D35C066}" presName="connectorText" presStyleLbl="sibTrans2D1" presStyleIdx="0" presStyleCnt="3"/>
      <dgm:spPr/>
    </dgm:pt>
    <dgm:pt modelId="{40FD5823-DB41-4DD3-8B52-F04F6C7723E2}" type="pres">
      <dgm:prSet presAssocID="{79704A19-0FAB-48FB-A2A9-126A598C5DEE}" presName="node" presStyleLbl="node1" presStyleIdx="1" presStyleCnt="4">
        <dgm:presLayoutVars>
          <dgm:bulletEnabled val="1"/>
        </dgm:presLayoutVars>
      </dgm:prSet>
      <dgm:spPr/>
    </dgm:pt>
    <dgm:pt modelId="{879FC769-7A97-43A8-A9E6-BB8F0E5787DD}" type="pres">
      <dgm:prSet presAssocID="{0E32ABF9-1D78-4C4E-A687-48A5D7392632}" presName="sibTrans" presStyleLbl="sibTrans2D1" presStyleIdx="1" presStyleCnt="3"/>
      <dgm:spPr/>
    </dgm:pt>
    <dgm:pt modelId="{D7C63753-D1BF-431C-89E3-99A42D6EACEE}" type="pres">
      <dgm:prSet presAssocID="{0E32ABF9-1D78-4C4E-A687-48A5D7392632}" presName="connectorText" presStyleLbl="sibTrans2D1" presStyleIdx="1" presStyleCnt="3"/>
      <dgm:spPr/>
    </dgm:pt>
    <dgm:pt modelId="{8CBE17A1-7A2A-4296-B876-7907D01B6AE1}" type="pres">
      <dgm:prSet presAssocID="{E55A7F75-1858-4578-BEF5-84B052A939E0}" presName="node" presStyleLbl="node1" presStyleIdx="2" presStyleCnt="4">
        <dgm:presLayoutVars>
          <dgm:bulletEnabled val="1"/>
        </dgm:presLayoutVars>
      </dgm:prSet>
      <dgm:spPr/>
    </dgm:pt>
    <dgm:pt modelId="{9792789E-098B-4677-AD90-E5C598FCD7AA}" type="pres">
      <dgm:prSet presAssocID="{CC3910CA-ACCF-40D5-9389-8627A91A42E2}" presName="sibTrans" presStyleLbl="sibTrans2D1" presStyleIdx="2" presStyleCnt="3"/>
      <dgm:spPr/>
    </dgm:pt>
    <dgm:pt modelId="{3691AD9C-439B-470C-9473-761D4BCFA7EB}" type="pres">
      <dgm:prSet presAssocID="{CC3910CA-ACCF-40D5-9389-8627A91A42E2}" presName="connectorText" presStyleLbl="sibTrans2D1" presStyleIdx="2" presStyleCnt="3"/>
      <dgm:spPr/>
    </dgm:pt>
    <dgm:pt modelId="{98D2D1EA-B460-4EE4-AE18-2E67D77A6BCC}" type="pres">
      <dgm:prSet presAssocID="{529A6636-ABA1-4C82-B945-827406C09C6C}" presName="node" presStyleLbl="node1" presStyleIdx="3" presStyleCnt="4">
        <dgm:presLayoutVars>
          <dgm:bulletEnabled val="1"/>
        </dgm:presLayoutVars>
      </dgm:prSet>
      <dgm:spPr/>
    </dgm:pt>
  </dgm:ptLst>
  <dgm:cxnLst>
    <dgm:cxn modelId="{63D70646-BA9A-414F-8078-4AFDDBC2CE96}" type="presOf" srcId="{CC3910CA-ACCF-40D5-9389-8627A91A42E2}" destId="{3691AD9C-439B-470C-9473-761D4BCFA7EB}" srcOrd="1" destOrd="0" presId="urn:microsoft.com/office/officeart/2005/8/layout/process1"/>
    <dgm:cxn modelId="{D5CADC46-2BAC-4CB0-ADCE-279A1DC183B8}" srcId="{AB106909-8F3D-4F49-B2A4-CAFFD62AF3B6}" destId="{529A6636-ABA1-4C82-B945-827406C09C6C}" srcOrd="3" destOrd="0" parTransId="{E0508EA2-75D1-4F29-A97C-49812FF67295}" sibTransId="{7C5B45CD-49B8-412C-9201-C4C2F9F32ECD}"/>
    <dgm:cxn modelId="{3231836D-07ED-4AA5-948D-C3507C94C829}" srcId="{AB106909-8F3D-4F49-B2A4-CAFFD62AF3B6}" destId="{E55A7F75-1858-4578-BEF5-84B052A939E0}" srcOrd="2" destOrd="0" parTransId="{1C4ECC27-58BF-41BE-89FA-E142D03A1224}" sibTransId="{CC3910CA-ACCF-40D5-9389-8627A91A42E2}"/>
    <dgm:cxn modelId="{C016F750-3485-41FB-9BF7-F9939D81D19B}" type="presOf" srcId="{529A6636-ABA1-4C82-B945-827406C09C6C}" destId="{98D2D1EA-B460-4EE4-AE18-2E67D77A6BCC}" srcOrd="0" destOrd="0" presId="urn:microsoft.com/office/officeart/2005/8/layout/process1"/>
    <dgm:cxn modelId="{91FF7576-8D4A-4C31-8F0D-06A947943173}" type="presOf" srcId="{2C7BD89C-2CCF-4F40-8DD4-137B818596A6}" destId="{7BC8D991-4B4B-44EB-B627-8305834F9F32}" srcOrd="0" destOrd="0" presId="urn:microsoft.com/office/officeart/2005/8/layout/process1"/>
    <dgm:cxn modelId="{E908A977-CF96-422C-AA23-44DA538B39FC}" type="presOf" srcId="{AB106909-8F3D-4F49-B2A4-CAFFD62AF3B6}" destId="{FC106771-7EDF-40EC-93B5-4862554AE165}" srcOrd="0" destOrd="0" presId="urn:microsoft.com/office/officeart/2005/8/layout/process1"/>
    <dgm:cxn modelId="{E218E757-6AF7-4B3A-9AC6-43828BF501BA}" srcId="{AB106909-8F3D-4F49-B2A4-CAFFD62AF3B6}" destId="{79704A19-0FAB-48FB-A2A9-126A598C5DEE}" srcOrd="1" destOrd="0" parTransId="{BB13C64A-34E9-4ADF-9546-0A47BF1B51EA}" sibTransId="{0E32ABF9-1D78-4C4E-A687-48A5D7392632}"/>
    <dgm:cxn modelId="{FDEAE678-D45C-49B3-B868-5E246481489C}" srcId="{AB106909-8F3D-4F49-B2A4-CAFFD62AF3B6}" destId="{2C7BD89C-2CCF-4F40-8DD4-137B818596A6}" srcOrd="0" destOrd="0" parTransId="{057B4B13-560F-4991-93C1-DDED76F0B70F}" sibTransId="{BBBA7028-7D3A-4D97-8108-62FC1D35C066}"/>
    <dgm:cxn modelId="{7C9E188D-A440-49F3-81F1-952A04B92E57}" type="presOf" srcId="{E55A7F75-1858-4578-BEF5-84B052A939E0}" destId="{8CBE17A1-7A2A-4296-B876-7907D01B6AE1}" srcOrd="0" destOrd="0" presId="urn:microsoft.com/office/officeart/2005/8/layout/process1"/>
    <dgm:cxn modelId="{0145E697-FCD9-4BCA-962D-CA20233758FB}" type="presOf" srcId="{BBBA7028-7D3A-4D97-8108-62FC1D35C066}" destId="{BB8581BF-9E3C-4DC2-B973-AB6E78571E9E}" srcOrd="1" destOrd="0" presId="urn:microsoft.com/office/officeart/2005/8/layout/process1"/>
    <dgm:cxn modelId="{F557DCC0-8EFB-4D9E-ADE2-84C59D2A8729}" type="presOf" srcId="{0E32ABF9-1D78-4C4E-A687-48A5D7392632}" destId="{879FC769-7A97-43A8-A9E6-BB8F0E5787DD}" srcOrd="0" destOrd="0" presId="urn:microsoft.com/office/officeart/2005/8/layout/process1"/>
    <dgm:cxn modelId="{3B16B4CA-8D34-4216-B1F1-D946B39FEF55}" type="presOf" srcId="{BBBA7028-7D3A-4D97-8108-62FC1D35C066}" destId="{D7483DED-499F-4752-9B30-9CF0B7D7CC19}" srcOrd="0" destOrd="0" presId="urn:microsoft.com/office/officeart/2005/8/layout/process1"/>
    <dgm:cxn modelId="{7A2D7BEA-AEBA-4338-BE3B-F1D07F011D3C}" type="presOf" srcId="{0E32ABF9-1D78-4C4E-A687-48A5D7392632}" destId="{D7C63753-D1BF-431C-89E3-99A42D6EACEE}" srcOrd="1" destOrd="0" presId="urn:microsoft.com/office/officeart/2005/8/layout/process1"/>
    <dgm:cxn modelId="{FDE2FFF7-4C10-435A-86B7-4A3A4225DBAF}" type="presOf" srcId="{CC3910CA-ACCF-40D5-9389-8627A91A42E2}" destId="{9792789E-098B-4677-AD90-E5C598FCD7AA}" srcOrd="0" destOrd="0" presId="urn:microsoft.com/office/officeart/2005/8/layout/process1"/>
    <dgm:cxn modelId="{1847C6F8-C85D-4735-9168-3F00C515D713}" type="presOf" srcId="{79704A19-0FAB-48FB-A2A9-126A598C5DEE}" destId="{40FD5823-DB41-4DD3-8B52-F04F6C7723E2}" srcOrd="0" destOrd="0" presId="urn:microsoft.com/office/officeart/2005/8/layout/process1"/>
    <dgm:cxn modelId="{1F437F4B-6C1F-431E-918D-57FF17937857}" type="presParOf" srcId="{FC106771-7EDF-40EC-93B5-4862554AE165}" destId="{7BC8D991-4B4B-44EB-B627-8305834F9F32}" srcOrd="0" destOrd="0" presId="urn:microsoft.com/office/officeart/2005/8/layout/process1"/>
    <dgm:cxn modelId="{B07863A8-4AEE-4E69-85BA-BDE6A32B7A65}" type="presParOf" srcId="{FC106771-7EDF-40EC-93B5-4862554AE165}" destId="{D7483DED-499F-4752-9B30-9CF0B7D7CC19}" srcOrd="1" destOrd="0" presId="urn:microsoft.com/office/officeart/2005/8/layout/process1"/>
    <dgm:cxn modelId="{662BA83E-6F6B-403A-9A61-BA9BCC8EC9E2}" type="presParOf" srcId="{D7483DED-499F-4752-9B30-9CF0B7D7CC19}" destId="{BB8581BF-9E3C-4DC2-B973-AB6E78571E9E}" srcOrd="0" destOrd="0" presId="urn:microsoft.com/office/officeart/2005/8/layout/process1"/>
    <dgm:cxn modelId="{E22FEB3C-B82C-4D31-BC44-9EC5E4F1F938}" type="presParOf" srcId="{FC106771-7EDF-40EC-93B5-4862554AE165}" destId="{40FD5823-DB41-4DD3-8B52-F04F6C7723E2}" srcOrd="2" destOrd="0" presId="urn:microsoft.com/office/officeart/2005/8/layout/process1"/>
    <dgm:cxn modelId="{F97D7107-9ED7-497D-8879-13F9726EFA7E}" type="presParOf" srcId="{FC106771-7EDF-40EC-93B5-4862554AE165}" destId="{879FC769-7A97-43A8-A9E6-BB8F0E5787DD}" srcOrd="3" destOrd="0" presId="urn:microsoft.com/office/officeart/2005/8/layout/process1"/>
    <dgm:cxn modelId="{BAB4843C-828B-4441-9F6D-25831CF5D21F}" type="presParOf" srcId="{879FC769-7A97-43A8-A9E6-BB8F0E5787DD}" destId="{D7C63753-D1BF-431C-89E3-99A42D6EACEE}" srcOrd="0" destOrd="0" presId="urn:microsoft.com/office/officeart/2005/8/layout/process1"/>
    <dgm:cxn modelId="{BB506BFC-9498-4D12-9FC5-9B5E57984E9B}" type="presParOf" srcId="{FC106771-7EDF-40EC-93B5-4862554AE165}" destId="{8CBE17A1-7A2A-4296-B876-7907D01B6AE1}" srcOrd="4" destOrd="0" presId="urn:microsoft.com/office/officeart/2005/8/layout/process1"/>
    <dgm:cxn modelId="{B1B4C959-BCF6-4E0D-A1F0-249DCC48F34F}" type="presParOf" srcId="{FC106771-7EDF-40EC-93B5-4862554AE165}" destId="{9792789E-098B-4677-AD90-E5C598FCD7AA}" srcOrd="5" destOrd="0" presId="urn:microsoft.com/office/officeart/2005/8/layout/process1"/>
    <dgm:cxn modelId="{413D49CE-D361-409C-BF3D-773086B3A657}" type="presParOf" srcId="{9792789E-098B-4677-AD90-E5C598FCD7AA}" destId="{3691AD9C-439B-470C-9473-761D4BCFA7EB}" srcOrd="0" destOrd="0" presId="urn:microsoft.com/office/officeart/2005/8/layout/process1"/>
    <dgm:cxn modelId="{27417242-770E-4F01-A491-CE5B93989D50}" type="presParOf" srcId="{FC106771-7EDF-40EC-93B5-4862554AE165}" destId="{98D2D1EA-B460-4EE4-AE18-2E67D77A6BCC}" srcOrd="6" destOrd="0" presId="urn:microsoft.com/office/officeart/2005/8/layout/process1"/>
  </dgm:cxnLst>
  <dgm:bg>
    <a:noFill/>
  </dgm:bg>
  <dgm:whole/>
  <dgm:extLst>
    <a:ext uri="http://schemas.microsoft.com/office/drawing/2008/diagram">
      <dsp:dataModelExt xmlns:dsp="http://schemas.microsoft.com/office/drawing/2008/diagram" relId="rId4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2D0BD744-3615-4BCA-8C0A-412A5BF015F9}" type="doc">
      <dgm:prSet loTypeId="urn:microsoft.com/office/officeart/2005/8/layout/process1" loCatId="process" qsTypeId="urn:microsoft.com/office/officeart/2005/8/quickstyle/simple1" qsCatId="simple" csTypeId="urn:microsoft.com/office/officeart/2005/8/colors/colorful5" csCatId="colorful" phldr="1"/>
      <dgm:spPr/>
    </dgm:pt>
    <dgm:pt modelId="{E74613DA-E57C-4ACF-8C3A-30BDA202F6F6}">
      <dgm:prSet phldrT="[Text]" custT="1"/>
      <dgm:spPr>
        <a:solidFill>
          <a:schemeClr val="accent4"/>
        </a:solidFill>
      </dgm:spPr>
      <dgm:t>
        <a:bodyPr/>
        <a:lstStyle/>
        <a:p>
          <a:pPr algn="l"/>
          <a:r>
            <a:rPr lang="en-GB" sz="1000" b="1"/>
            <a:t>Respostas individuais ao inquérito</a:t>
          </a:r>
        </a:p>
        <a:p>
          <a:pPr algn="l"/>
          <a:r>
            <a:rPr lang="en-GB" sz="1000" b="0"/>
            <a:t>Cada parte interessada ou grupo de partes interessadas preenche separadamente o inquérito.</a:t>
          </a:r>
          <a:endParaRPr lang="en-GB" sz="1000" b="1"/>
        </a:p>
      </dgm:t>
    </dgm:pt>
    <dgm:pt modelId="{F2293A8F-4259-475B-8E8D-36FA078225AA}" type="parTrans" cxnId="{AD7C1949-9881-4D70-8184-44948477DB7F}">
      <dgm:prSet/>
      <dgm:spPr/>
      <dgm:t>
        <a:bodyPr/>
        <a:lstStyle/>
        <a:p>
          <a:endParaRPr lang="en-GB" sz="1000"/>
        </a:p>
      </dgm:t>
    </dgm:pt>
    <dgm:pt modelId="{8FB34983-0770-4370-90C7-5AD25DC70386}" type="sibTrans" cxnId="{AD7C1949-9881-4D70-8184-44948477DB7F}">
      <dgm:prSet custT="1"/>
      <dgm:spPr>
        <a:solidFill>
          <a:schemeClr val="accent1"/>
        </a:solidFill>
      </dgm:spPr>
      <dgm:t>
        <a:bodyPr/>
        <a:lstStyle/>
        <a:p>
          <a:endParaRPr lang="en-GB" sz="1000"/>
        </a:p>
      </dgm:t>
    </dgm:pt>
    <dgm:pt modelId="{73E5205E-D736-45DA-86E9-8DD98D487B14}">
      <dgm:prSet phldrT="[Text]" custT="1"/>
      <dgm:spPr>
        <a:solidFill>
          <a:schemeClr val="accent4"/>
        </a:solidFill>
      </dgm:spPr>
      <dgm:t>
        <a:bodyPr/>
        <a:lstStyle/>
        <a:p>
          <a:pPr algn="l"/>
          <a:r>
            <a:rPr lang="en-GB" sz="1000" b="1"/>
            <a:t>Versão 1</a:t>
          </a:r>
        </a:p>
        <a:p>
          <a:pPr algn="l"/>
          <a:r>
            <a:rPr lang="en-GB" sz="1000"/>
            <a:t>Respostas compiladas, preparadas pelo facilitador e validadas pelo Ponto Focal.</a:t>
          </a:r>
          <a:endParaRPr lang="en-GB" sz="1000" b="1"/>
        </a:p>
      </dgm:t>
    </dgm:pt>
    <dgm:pt modelId="{5BF69FCB-E949-46B1-A512-38816D1EB2F5}" type="parTrans" cxnId="{356BCB7F-614F-4D2C-8D29-39171EAEA64C}">
      <dgm:prSet/>
      <dgm:spPr/>
      <dgm:t>
        <a:bodyPr/>
        <a:lstStyle/>
        <a:p>
          <a:endParaRPr lang="en-GB" sz="1000"/>
        </a:p>
      </dgm:t>
    </dgm:pt>
    <dgm:pt modelId="{5042B602-4127-4590-BCFD-C635208423AF}" type="sibTrans" cxnId="{356BCB7F-614F-4D2C-8D29-39171EAEA64C}">
      <dgm:prSet custT="1"/>
      <dgm:spPr>
        <a:solidFill>
          <a:schemeClr val="accent1"/>
        </a:solidFill>
      </dgm:spPr>
      <dgm:t>
        <a:bodyPr/>
        <a:lstStyle/>
        <a:p>
          <a:endParaRPr lang="en-GB" sz="1000"/>
        </a:p>
      </dgm:t>
    </dgm:pt>
    <dgm:pt modelId="{7C9296BA-AA9D-443C-9817-A962254E2EE5}">
      <dgm:prSet phldrT="[Text]" custT="1"/>
      <dgm:spPr>
        <a:solidFill>
          <a:schemeClr val="accent4"/>
        </a:solidFill>
      </dgm:spPr>
      <dgm:t>
        <a:bodyPr/>
        <a:lstStyle/>
        <a:p>
          <a:pPr algn="l"/>
          <a:r>
            <a:rPr lang="en-GB" sz="1000" b="1"/>
            <a:t>Versão final</a:t>
          </a:r>
        </a:p>
        <a:p>
          <a:pPr algn="l"/>
          <a:r>
            <a:rPr lang="en-GB" sz="1000" i="1"/>
            <a:t>Workshop </a:t>
          </a:r>
          <a:r>
            <a:rPr lang="en-GB" sz="1000"/>
            <a:t>com várias partes interessadas para chegar a um acordo final. Ponto Focal envia inquérito final ao PNUA após o </a:t>
          </a:r>
          <a:r>
            <a:rPr lang="en-GB" sz="1000" i="1"/>
            <a:t>workshop.</a:t>
          </a:r>
          <a:endParaRPr lang="en-GB" sz="1000" b="1"/>
        </a:p>
      </dgm:t>
    </dgm:pt>
    <dgm:pt modelId="{28A98BC8-CFC9-4774-90E6-4A51E39330DD}" type="parTrans" cxnId="{1AA1B276-8874-4957-BB29-A1E0C5098948}">
      <dgm:prSet/>
      <dgm:spPr/>
      <dgm:t>
        <a:bodyPr/>
        <a:lstStyle/>
        <a:p>
          <a:endParaRPr lang="en-GB" sz="1000"/>
        </a:p>
      </dgm:t>
    </dgm:pt>
    <dgm:pt modelId="{B5551ABB-F1FB-496D-ABFA-79263C1E1800}" type="sibTrans" cxnId="{1AA1B276-8874-4957-BB29-A1E0C5098948}">
      <dgm:prSet/>
      <dgm:spPr/>
      <dgm:t>
        <a:bodyPr/>
        <a:lstStyle/>
        <a:p>
          <a:endParaRPr lang="en-GB" sz="1000"/>
        </a:p>
      </dgm:t>
    </dgm:pt>
    <dgm:pt modelId="{95303720-DC00-4184-9914-47E9B7FC6B9C}" type="pres">
      <dgm:prSet presAssocID="{2D0BD744-3615-4BCA-8C0A-412A5BF015F9}" presName="Name0" presStyleCnt="0">
        <dgm:presLayoutVars>
          <dgm:dir/>
          <dgm:resizeHandles val="exact"/>
        </dgm:presLayoutVars>
      </dgm:prSet>
      <dgm:spPr/>
    </dgm:pt>
    <dgm:pt modelId="{5DE075F4-6618-4A25-93FF-68F10B971C48}" type="pres">
      <dgm:prSet presAssocID="{E74613DA-E57C-4ACF-8C3A-30BDA202F6F6}" presName="node" presStyleLbl="node1" presStyleIdx="0" presStyleCnt="3" custScaleX="151123">
        <dgm:presLayoutVars>
          <dgm:bulletEnabled val="1"/>
        </dgm:presLayoutVars>
      </dgm:prSet>
      <dgm:spPr/>
    </dgm:pt>
    <dgm:pt modelId="{4C1BC733-799C-4A6D-88F7-376A970224E8}" type="pres">
      <dgm:prSet presAssocID="{8FB34983-0770-4370-90C7-5AD25DC70386}" presName="sibTrans" presStyleLbl="sibTrans2D1" presStyleIdx="0" presStyleCnt="2"/>
      <dgm:spPr/>
    </dgm:pt>
    <dgm:pt modelId="{92D40E60-81FD-4FC0-B035-E58DAEA04CC8}" type="pres">
      <dgm:prSet presAssocID="{8FB34983-0770-4370-90C7-5AD25DC70386}" presName="connectorText" presStyleLbl="sibTrans2D1" presStyleIdx="0" presStyleCnt="2"/>
      <dgm:spPr/>
    </dgm:pt>
    <dgm:pt modelId="{7D7307A3-40CC-4E97-B4D9-9AE2F9F18B32}" type="pres">
      <dgm:prSet presAssocID="{73E5205E-D736-45DA-86E9-8DD98D487B14}" presName="node" presStyleLbl="node1" presStyleIdx="1" presStyleCnt="3">
        <dgm:presLayoutVars>
          <dgm:bulletEnabled val="1"/>
        </dgm:presLayoutVars>
      </dgm:prSet>
      <dgm:spPr/>
    </dgm:pt>
    <dgm:pt modelId="{DC697EDE-1335-41C4-871E-62F69240759C}" type="pres">
      <dgm:prSet presAssocID="{5042B602-4127-4590-BCFD-C635208423AF}" presName="sibTrans" presStyleLbl="sibTrans2D1" presStyleIdx="1" presStyleCnt="2"/>
      <dgm:spPr/>
    </dgm:pt>
    <dgm:pt modelId="{A264D7E8-C3ED-4794-9EC3-6AB8F21168E5}" type="pres">
      <dgm:prSet presAssocID="{5042B602-4127-4590-BCFD-C635208423AF}" presName="connectorText" presStyleLbl="sibTrans2D1" presStyleIdx="1" presStyleCnt="2"/>
      <dgm:spPr/>
    </dgm:pt>
    <dgm:pt modelId="{7643648B-9D7B-4117-898A-01C197787E58}" type="pres">
      <dgm:prSet presAssocID="{7C9296BA-AA9D-443C-9817-A962254E2EE5}" presName="node" presStyleLbl="node1" presStyleIdx="2" presStyleCnt="3">
        <dgm:presLayoutVars>
          <dgm:bulletEnabled val="1"/>
        </dgm:presLayoutVars>
      </dgm:prSet>
      <dgm:spPr/>
    </dgm:pt>
  </dgm:ptLst>
  <dgm:cxnLst>
    <dgm:cxn modelId="{692BB73B-B05B-415D-9A11-177FFE9EE82D}" type="presOf" srcId="{2D0BD744-3615-4BCA-8C0A-412A5BF015F9}" destId="{95303720-DC00-4184-9914-47E9B7FC6B9C}" srcOrd="0" destOrd="0" presId="urn:microsoft.com/office/officeart/2005/8/layout/process1"/>
    <dgm:cxn modelId="{C106895B-CD1C-4B04-BD00-4DD4892638B4}" type="presOf" srcId="{E74613DA-E57C-4ACF-8C3A-30BDA202F6F6}" destId="{5DE075F4-6618-4A25-93FF-68F10B971C48}" srcOrd="0" destOrd="0" presId="urn:microsoft.com/office/officeart/2005/8/layout/process1"/>
    <dgm:cxn modelId="{BC22AD47-EA9D-48F7-8748-F772FC5E38D7}" type="presOf" srcId="{7C9296BA-AA9D-443C-9817-A962254E2EE5}" destId="{7643648B-9D7B-4117-898A-01C197787E58}" srcOrd="0" destOrd="0" presId="urn:microsoft.com/office/officeart/2005/8/layout/process1"/>
    <dgm:cxn modelId="{AD7C1949-9881-4D70-8184-44948477DB7F}" srcId="{2D0BD744-3615-4BCA-8C0A-412A5BF015F9}" destId="{E74613DA-E57C-4ACF-8C3A-30BDA202F6F6}" srcOrd="0" destOrd="0" parTransId="{F2293A8F-4259-475B-8E8D-36FA078225AA}" sibTransId="{8FB34983-0770-4370-90C7-5AD25DC70386}"/>
    <dgm:cxn modelId="{AF13AA4F-EE71-490B-90B8-35202D1B15CE}" type="presOf" srcId="{5042B602-4127-4590-BCFD-C635208423AF}" destId="{A264D7E8-C3ED-4794-9EC3-6AB8F21168E5}" srcOrd="1" destOrd="0" presId="urn:microsoft.com/office/officeart/2005/8/layout/process1"/>
    <dgm:cxn modelId="{FDDB0871-BAC4-4DCA-A24D-276BAA469A82}" type="presOf" srcId="{5042B602-4127-4590-BCFD-C635208423AF}" destId="{DC697EDE-1335-41C4-871E-62F69240759C}" srcOrd="0" destOrd="0" presId="urn:microsoft.com/office/officeart/2005/8/layout/process1"/>
    <dgm:cxn modelId="{1AA1B276-8874-4957-BB29-A1E0C5098948}" srcId="{2D0BD744-3615-4BCA-8C0A-412A5BF015F9}" destId="{7C9296BA-AA9D-443C-9817-A962254E2EE5}" srcOrd="2" destOrd="0" parTransId="{28A98BC8-CFC9-4774-90E6-4A51E39330DD}" sibTransId="{B5551ABB-F1FB-496D-ABFA-79263C1E1800}"/>
    <dgm:cxn modelId="{356BCB7F-614F-4D2C-8D29-39171EAEA64C}" srcId="{2D0BD744-3615-4BCA-8C0A-412A5BF015F9}" destId="{73E5205E-D736-45DA-86E9-8DD98D487B14}" srcOrd="1" destOrd="0" parTransId="{5BF69FCB-E949-46B1-A512-38816D1EB2F5}" sibTransId="{5042B602-4127-4590-BCFD-C635208423AF}"/>
    <dgm:cxn modelId="{265B8E89-8923-4213-88EE-BCBA57868359}" type="presOf" srcId="{73E5205E-D736-45DA-86E9-8DD98D487B14}" destId="{7D7307A3-40CC-4E97-B4D9-9AE2F9F18B32}" srcOrd="0" destOrd="0" presId="urn:microsoft.com/office/officeart/2005/8/layout/process1"/>
    <dgm:cxn modelId="{A99CC189-4E8A-4BE8-A342-4A2EB2C3AB23}" type="presOf" srcId="{8FB34983-0770-4370-90C7-5AD25DC70386}" destId="{4C1BC733-799C-4A6D-88F7-376A970224E8}" srcOrd="0" destOrd="0" presId="urn:microsoft.com/office/officeart/2005/8/layout/process1"/>
    <dgm:cxn modelId="{6580E4D4-6285-47FF-860D-71FF6F47DE08}" type="presOf" srcId="{8FB34983-0770-4370-90C7-5AD25DC70386}" destId="{92D40E60-81FD-4FC0-B035-E58DAEA04CC8}" srcOrd="1" destOrd="0" presId="urn:microsoft.com/office/officeart/2005/8/layout/process1"/>
    <dgm:cxn modelId="{A7995B48-12E9-4035-9901-638075E874D0}" type="presParOf" srcId="{95303720-DC00-4184-9914-47E9B7FC6B9C}" destId="{5DE075F4-6618-4A25-93FF-68F10B971C48}" srcOrd="0" destOrd="0" presId="urn:microsoft.com/office/officeart/2005/8/layout/process1"/>
    <dgm:cxn modelId="{CE709E8E-D104-45C3-A2E0-A21238AC5CBC}" type="presParOf" srcId="{95303720-DC00-4184-9914-47E9B7FC6B9C}" destId="{4C1BC733-799C-4A6D-88F7-376A970224E8}" srcOrd="1" destOrd="0" presId="urn:microsoft.com/office/officeart/2005/8/layout/process1"/>
    <dgm:cxn modelId="{E67EF80A-EA96-4A04-8E82-12A72B435516}" type="presParOf" srcId="{4C1BC733-799C-4A6D-88F7-376A970224E8}" destId="{92D40E60-81FD-4FC0-B035-E58DAEA04CC8}" srcOrd="0" destOrd="0" presId="urn:microsoft.com/office/officeart/2005/8/layout/process1"/>
    <dgm:cxn modelId="{C83059EE-66EE-46D5-89AF-179F212DB9CF}" type="presParOf" srcId="{95303720-DC00-4184-9914-47E9B7FC6B9C}" destId="{7D7307A3-40CC-4E97-B4D9-9AE2F9F18B32}" srcOrd="2" destOrd="0" presId="urn:microsoft.com/office/officeart/2005/8/layout/process1"/>
    <dgm:cxn modelId="{B783C961-7248-49FE-A52C-186008459D63}" type="presParOf" srcId="{95303720-DC00-4184-9914-47E9B7FC6B9C}" destId="{DC697EDE-1335-41C4-871E-62F69240759C}" srcOrd="3" destOrd="0" presId="urn:microsoft.com/office/officeart/2005/8/layout/process1"/>
    <dgm:cxn modelId="{790848CA-4693-40FF-8FFB-997669F1D32E}" type="presParOf" srcId="{DC697EDE-1335-41C4-871E-62F69240759C}" destId="{A264D7E8-C3ED-4794-9EC3-6AB8F21168E5}" srcOrd="0" destOrd="0" presId="urn:microsoft.com/office/officeart/2005/8/layout/process1"/>
    <dgm:cxn modelId="{A511F14D-D0E3-4C19-90E4-74DE29A9B9CA}" type="presParOf" srcId="{95303720-DC00-4184-9914-47E9B7FC6B9C}" destId="{7643648B-9D7B-4117-898A-01C197787E58}" srcOrd="4" destOrd="0" presId="urn:microsoft.com/office/officeart/2005/8/layout/process1"/>
  </dgm:cxnLst>
  <dgm:bg/>
  <dgm:whole/>
  <dgm:extLst>
    <a:ext uri="http://schemas.microsoft.com/office/drawing/2008/diagram">
      <dsp:dataModelExt xmlns:dsp="http://schemas.microsoft.com/office/drawing/2008/diagram" relId="rId4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F55C601-19C5-4573-83E7-37B8EEC82D47}">
      <dsp:nvSpPr>
        <dsp:cNvPr id="0" name=""/>
        <dsp:cNvSpPr/>
      </dsp:nvSpPr>
      <dsp:spPr>
        <a:xfrm>
          <a:off x="2643" y="230387"/>
          <a:ext cx="1538875" cy="615550"/>
        </a:xfrm>
        <a:prstGeom prst="chevron">
          <a:avLst/>
        </a:prstGeom>
        <a:solidFill>
          <a:schemeClr val="accent1"/>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t>Preparação</a:t>
          </a:r>
          <a:endParaRPr lang="en-US" sz="1300" kern="1200">
            <a:solidFill>
              <a:sysClr val="window" lastClr="FFFFFF"/>
            </a:solidFill>
            <a:latin typeface="Calibri" panose="020F0502020204030204"/>
            <a:ea typeface="+mn-ea"/>
            <a:cs typeface="+mn-cs"/>
          </a:endParaRPr>
        </a:p>
      </dsp:txBody>
      <dsp:txXfrm>
        <a:off x="310418" y="230387"/>
        <a:ext cx="923325" cy="615550"/>
      </dsp:txXfrm>
    </dsp:sp>
    <dsp:sp modelId="{20EDB000-4296-4EA4-969F-A501FBE509BF}">
      <dsp:nvSpPr>
        <dsp:cNvPr id="0" name=""/>
        <dsp:cNvSpPr/>
      </dsp:nvSpPr>
      <dsp:spPr>
        <a:xfrm>
          <a:off x="1387631" y="230387"/>
          <a:ext cx="1538875" cy="615550"/>
        </a:xfrm>
        <a:prstGeom prst="chevron">
          <a:avLst/>
        </a:prstGeom>
        <a:solidFill>
          <a:schemeClr val="accent2"/>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t>Consulta</a:t>
          </a:r>
          <a:endParaRPr lang="en-US" sz="1300" kern="1200">
            <a:solidFill>
              <a:sysClr val="window" lastClr="FFFFFF"/>
            </a:solidFill>
            <a:latin typeface="Calibri" panose="020F0502020204030204"/>
            <a:ea typeface="+mn-ea"/>
            <a:cs typeface="+mn-cs"/>
          </a:endParaRPr>
        </a:p>
      </dsp:txBody>
      <dsp:txXfrm>
        <a:off x="1695406" y="230387"/>
        <a:ext cx="923325" cy="615550"/>
      </dsp:txXfrm>
    </dsp:sp>
    <dsp:sp modelId="{5E8CB7E8-80D3-45DE-AA24-AB9F0929B6D8}">
      <dsp:nvSpPr>
        <dsp:cNvPr id="0" name=""/>
        <dsp:cNvSpPr/>
      </dsp:nvSpPr>
      <dsp:spPr>
        <a:xfrm>
          <a:off x="2772618" y="230387"/>
          <a:ext cx="1538875" cy="615550"/>
        </a:xfrm>
        <a:prstGeom prst="chevron">
          <a:avLst/>
        </a:prstGeom>
        <a:solidFill>
          <a:schemeClr val="accent3"/>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t>Entrega</a:t>
          </a:r>
          <a:endParaRPr lang="en-US" sz="1300" kern="1200">
            <a:solidFill>
              <a:sysClr val="window" lastClr="FFFFFF"/>
            </a:solidFill>
            <a:latin typeface="Calibri" panose="020F0502020204030204"/>
            <a:ea typeface="+mn-ea"/>
            <a:cs typeface="+mn-cs"/>
          </a:endParaRPr>
        </a:p>
      </dsp:txBody>
      <dsp:txXfrm>
        <a:off x="3080393" y="230387"/>
        <a:ext cx="923325" cy="615550"/>
      </dsp:txXfrm>
    </dsp:sp>
    <dsp:sp modelId="{C7325324-0314-4D59-B2B8-17C9B2BF1837}">
      <dsp:nvSpPr>
        <dsp:cNvPr id="0" name=""/>
        <dsp:cNvSpPr/>
      </dsp:nvSpPr>
      <dsp:spPr>
        <a:xfrm>
          <a:off x="4157606" y="230387"/>
          <a:ext cx="1538875" cy="615550"/>
        </a:xfrm>
        <a:prstGeom prst="chevron">
          <a:avLst/>
        </a:prstGeom>
        <a:solidFill>
          <a:schemeClr val="accent4"/>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t>Seguimento</a:t>
          </a:r>
          <a:endParaRPr lang="en-US" sz="1300" kern="1200">
            <a:solidFill>
              <a:sysClr val="window" lastClr="FFFFFF"/>
            </a:solidFill>
            <a:latin typeface="Calibri" panose="020F0502020204030204"/>
            <a:ea typeface="+mn-ea"/>
            <a:cs typeface="+mn-cs"/>
          </a:endParaRPr>
        </a:p>
      </dsp:txBody>
      <dsp:txXfrm>
        <a:off x="4465381" y="230387"/>
        <a:ext cx="923325" cy="615550"/>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BC8D991-4B4B-44EB-B627-8305834F9F32}">
      <dsp:nvSpPr>
        <dsp:cNvPr id="0" name=""/>
        <dsp:cNvSpPr/>
      </dsp:nvSpPr>
      <dsp:spPr>
        <a:xfrm>
          <a:off x="972" y="11538"/>
          <a:ext cx="1374681" cy="1450758"/>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Versão 1</a:t>
          </a:r>
        </a:p>
        <a:p>
          <a:pPr marL="0" lvl="0" indent="0" algn="l" defTabSz="444500">
            <a:lnSpc>
              <a:spcPct val="90000"/>
            </a:lnSpc>
            <a:spcBef>
              <a:spcPct val="0"/>
            </a:spcBef>
            <a:spcAft>
              <a:spcPct val="35000"/>
            </a:spcAft>
            <a:buNone/>
          </a:pPr>
          <a:r>
            <a:rPr lang="en-GB" sz="1000" kern="1200"/>
            <a:t>Equipa principal (por exemplo: ponto focal do ODS 6.5.1, facilitador, representantes do governo) revê o inquérito.</a:t>
          </a:r>
          <a:endParaRPr lang="en-GB" sz="1000" b="1" kern="1200"/>
        </a:p>
      </dsp:txBody>
      <dsp:txXfrm>
        <a:off x="41235" y="51801"/>
        <a:ext cx="1294155" cy="1370232"/>
      </dsp:txXfrm>
    </dsp:sp>
    <dsp:sp modelId="{D7483DED-499F-4752-9B30-9CF0B7D7CC19}">
      <dsp:nvSpPr>
        <dsp:cNvPr id="0" name=""/>
        <dsp:cNvSpPr/>
      </dsp:nvSpPr>
      <dsp:spPr>
        <a:xfrm>
          <a:off x="1479341" y="608344"/>
          <a:ext cx="219817" cy="257145"/>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1479341" y="659773"/>
        <a:ext cx="153872" cy="154287"/>
      </dsp:txXfrm>
    </dsp:sp>
    <dsp:sp modelId="{40FD5823-DB41-4DD3-8B52-F04F6C7723E2}">
      <dsp:nvSpPr>
        <dsp:cNvPr id="0" name=""/>
        <dsp:cNvSpPr/>
      </dsp:nvSpPr>
      <dsp:spPr>
        <a:xfrm>
          <a:off x="1790404" y="11538"/>
          <a:ext cx="1036877" cy="1450758"/>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Versão 2</a:t>
          </a:r>
        </a:p>
        <a:p>
          <a:pPr marL="0" lvl="0" indent="0" algn="l" defTabSz="444500">
            <a:lnSpc>
              <a:spcPct val="90000"/>
            </a:lnSpc>
            <a:spcBef>
              <a:spcPct val="0"/>
            </a:spcBef>
            <a:spcAft>
              <a:spcPct val="35000"/>
            </a:spcAft>
            <a:buNone/>
          </a:pPr>
          <a:r>
            <a:rPr lang="en-GB" sz="1000" kern="1200"/>
            <a:t>Partes interessadas do governo reveem inquérito.</a:t>
          </a:r>
          <a:endParaRPr lang="en-GB" sz="1000" b="1" kern="1200"/>
        </a:p>
      </dsp:txBody>
      <dsp:txXfrm>
        <a:off x="1820773" y="41907"/>
        <a:ext cx="976139" cy="1390020"/>
      </dsp:txXfrm>
    </dsp:sp>
    <dsp:sp modelId="{879FC769-7A97-43A8-A9E6-BB8F0E5787DD}">
      <dsp:nvSpPr>
        <dsp:cNvPr id="0" name=""/>
        <dsp:cNvSpPr/>
      </dsp:nvSpPr>
      <dsp:spPr>
        <a:xfrm>
          <a:off x="2930969" y="608344"/>
          <a:ext cx="219817" cy="257145"/>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2930969" y="659773"/>
        <a:ext cx="153872" cy="154287"/>
      </dsp:txXfrm>
    </dsp:sp>
    <dsp:sp modelId="{8CBE17A1-7A2A-4296-B876-7907D01B6AE1}">
      <dsp:nvSpPr>
        <dsp:cNvPr id="0" name=""/>
        <dsp:cNvSpPr/>
      </dsp:nvSpPr>
      <dsp:spPr>
        <a:xfrm>
          <a:off x="3242032" y="11538"/>
          <a:ext cx="1036877" cy="1450758"/>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Versão 3</a:t>
          </a:r>
        </a:p>
        <a:p>
          <a:pPr marL="0" lvl="0" indent="0" algn="l" defTabSz="444500">
            <a:lnSpc>
              <a:spcPct val="90000"/>
            </a:lnSpc>
            <a:spcBef>
              <a:spcPct val="0"/>
            </a:spcBef>
            <a:spcAft>
              <a:spcPct val="35000"/>
            </a:spcAft>
            <a:buNone/>
          </a:pPr>
          <a:r>
            <a:rPr lang="en-GB" sz="1000" i="1" kern="1200"/>
            <a:t>Workshop </a:t>
          </a:r>
          <a:r>
            <a:rPr lang="en-GB" sz="1000" kern="1200"/>
            <a:t>com várias partes interessadas para rever/validar o inquérito.</a:t>
          </a:r>
          <a:endParaRPr lang="en-GB" sz="1000" b="1" kern="1200"/>
        </a:p>
      </dsp:txBody>
      <dsp:txXfrm>
        <a:off x="3272401" y="41907"/>
        <a:ext cx="976139" cy="1390020"/>
      </dsp:txXfrm>
    </dsp:sp>
    <dsp:sp modelId="{9792789E-098B-4677-AD90-E5C598FCD7AA}">
      <dsp:nvSpPr>
        <dsp:cNvPr id="0" name=""/>
        <dsp:cNvSpPr/>
      </dsp:nvSpPr>
      <dsp:spPr>
        <a:xfrm>
          <a:off x="4382597" y="608344"/>
          <a:ext cx="219817" cy="257145"/>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4382597" y="659773"/>
        <a:ext cx="153872" cy="154287"/>
      </dsp:txXfrm>
    </dsp:sp>
    <dsp:sp modelId="{98D2D1EA-B460-4EE4-AE18-2E67D77A6BCC}">
      <dsp:nvSpPr>
        <dsp:cNvPr id="0" name=""/>
        <dsp:cNvSpPr/>
      </dsp:nvSpPr>
      <dsp:spPr>
        <a:xfrm>
          <a:off x="4693660" y="11538"/>
          <a:ext cx="1036877" cy="1450758"/>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Versão final</a:t>
          </a:r>
        </a:p>
        <a:p>
          <a:pPr marL="0" lvl="0" indent="0" algn="l" defTabSz="444500">
            <a:lnSpc>
              <a:spcPct val="90000"/>
            </a:lnSpc>
            <a:spcBef>
              <a:spcPct val="0"/>
            </a:spcBef>
            <a:spcAft>
              <a:spcPct val="35000"/>
            </a:spcAft>
            <a:buNone/>
          </a:pPr>
          <a:r>
            <a:rPr lang="en-GB" sz="1000" kern="1200"/>
            <a:t>Equipa principal analisa as informações e finaliza o inquérito. Ponto Focal envia versão final ao PNUA.</a:t>
          </a:r>
          <a:endParaRPr lang="en-GB" sz="1000" b="1" kern="1200"/>
        </a:p>
      </dsp:txBody>
      <dsp:txXfrm>
        <a:off x="4724029" y="41907"/>
        <a:ext cx="976139" cy="1390020"/>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DE075F4-6618-4A25-93FF-68F10B971C48}">
      <dsp:nvSpPr>
        <dsp:cNvPr id="0" name=""/>
        <dsp:cNvSpPr/>
      </dsp:nvSpPr>
      <dsp:spPr>
        <a:xfrm>
          <a:off x="2965" y="0"/>
          <a:ext cx="1964269" cy="1307464"/>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Respostas individuais ao inquérito</a:t>
          </a:r>
        </a:p>
        <a:p>
          <a:pPr marL="0" lvl="0" indent="0" algn="l" defTabSz="444500">
            <a:lnSpc>
              <a:spcPct val="90000"/>
            </a:lnSpc>
            <a:spcBef>
              <a:spcPct val="0"/>
            </a:spcBef>
            <a:spcAft>
              <a:spcPct val="35000"/>
            </a:spcAft>
            <a:buNone/>
          </a:pPr>
          <a:r>
            <a:rPr lang="en-GB" sz="1000" b="0" kern="1200"/>
            <a:t>Cada parte interessada ou grupo de partes interessadas preenche separadamente o inquérito.</a:t>
          </a:r>
          <a:endParaRPr lang="en-GB" sz="1000" b="1" kern="1200"/>
        </a:p>
      </dsp:txBody>
      <dsp:txXfrm>
        <a:off x="41259" y="38294"/>
        <a:ext cx="1887681" cy="1230876"/>
      </dsp:txXfrm>
    </dsp:sp>
    <dsp:sp modelId="{4C1BC733-799C-4A6D-88F7-376A970224E8}">
      <dsp:nvSpPr>
        <dsp:cNvPr id="0" name=""/>
        <dsp:cNvSpPr/>
      </dsp:nvSpPr>
      <dsp:spPr>
        <a:xfrm>
          <a:off x="2097213" y="492559"/>
          <a:ext cx="275553" cy="322345"/>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2097213" y="557028"/>
        <a:ext cx="192887" cy="193407"/>
      </dsp:txXfrm>
    </dsp:sp>
    <dsp:sp modelId="{7D7307A3-40CC-4E97-B4D9-9AE2F9F18B32}">
      <dsp:nvSpPr>
        <dsp:cNvPr id="0" name=""/>
        <dsp:cNvSpPr/>
      </dsp:nvSpPr>
      <dsp:spPr>
        <a:xfrm>
          <a:off x="2487147" y="0"/>
          <a:ext cx="1299781" cy="1307464"/>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Versão 1</a:t>
          </a:r>
        </a:p>
        <a:p>
          <a:pPr marL="0" lvl="0" indent="0" algn="l" defTabSz="444500">
            <a:lnSpc>
              <a:spcPct val="90000"/>
            </a:lnSpc>
            <a:spcBef>
              <a:spcPct val="0"/>
            </a:spcBef>
            <a:spcAft>
              <a:spcPct val="35000"/>
            </a:spcAft>
            <a:buNone/>
          </a:pPr>
          <a:r>
            <a:rPr lang="en-GB" sz="1000" kern="1200"/>
            <a:t>Respostas compiladas, preparadas pelo facilitador e validadas pelo Ponto Focal.</a:t>
          </a:r>
          <a:endParaRPr lang="en-GB" sz="1000" b="1" kern="1200"/>
        </a:p>
      </dsp:txBody>
      <dsp:txXfrm>
        <a:off x="2525216" y="38069"/>
        <a:ext cx="1223643" cy="1231326"/>
      </dsp:txXfrm>
    </dsp:sp>
    <dsp:sp modelId="{DC697EDE-1335-41C4-871E-62F69240759C}">
      <dsp:nvSpPr>
        <dsp:cNvPr id="0" name=""/>
        <dsp:cNvSpPr/>
      </dsp:nvSpPr>
      <dsp:spPr>
        <a:xfrm>
          <a:off x="3916907" y="492559"/>
          <a:ext cx="275553" cy="322345"/>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p>
      </dsp:txBody>
      <dsp:txXfrm>
        <a:off x="3916907" y="557028"/>
        <a:ext cx="192887" cy="193407"/>
      </dsp:txXfrm>
    </dsp:sp>
    <dsp:sp modelId="{7643648B-9D7B-4117-898A-01C197787E58}">
      <dsp:nvSpPr>
        <dsp:cNvPr id="0" name=""/>
        <dsp:cNvSpPr/>
      </dsp:nvSpPr>
      <dsp:spPr>
        <a:xfrm>
          <a:off x="4306842" y="0"/>
          <a:ext cx="1299781" cy="1307464"/>
        </a:xfrm>
        <a:prstGeom prst="roundRect">
          <a:avLst>
            <a:gd name="adj" fmla="val 10000"/>
          </a:avLst>
        </a:prstGeom>
        <a:solidFill>
          <a:schemeClr val="accent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t>Versão final</a:t>
          </a:r>
        </a:p>
        <a:p>
          <a:pPr marL="0" lvl="0" indent="0" algn="l" defTabSz="444500">
            <a:lnSpc>
              <a:spcPct val="90000"/>
            </a:lnSpc>
            <a:spcBef>
              <a:spcPct val="0"/>
            </a:spcBef>
            <a:spcAft>
              <a:spcPct val="35000"/>
            </a:spcAft>
            <a:buNone/>
          </a:pPr>
          <a:r>
            <a:rPr lang="en-GB" sz="1000" i="1" kern="1200"/>
            <a:t>Workshop </a:t>
          </a:r>
          <a:r>
            <a:rPr lang="en-GB" sz="1000" kern="1200"/>
            <a:t>com várias partes interessadas para chegar a um acordo final. Ponto Focal envia inquérito final ao PNUA após o </a:t>
          </a:r>
          <a:r>
            <a:rPr lang="en-GB" sz="1000" i="1" kern="1200"/>
            <a:t>workshop.</a:t>
          </a:r>
          <a:endParaRPr lang="en-GB" sz="1000" b="1" kern="1200"/>
        </a:p>
      </dsp:txBody>
      <dsp:txXfrm>
        <a:off x="4344911" y="38069"/>
        <a:ext cx="1223643" cy="1231326"/>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2.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SharedWithUsers xmlns="13903724-28f5-48bb-9c71-b0ec8b148fe0">
      <UserInfo>
        <DisplayName/>
        <AccountId xsi:nil="true"/>
        <AccountType/>
      </UserInfo>
    </SharedWithUsers>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9AD4B9-EB4D-42B0-86D0-D4FCA36EB75C}">
  <ds:schemaRefs>
    <ds:schemaRef ds:uri="http://schemas.microsoft.com/office/2006/documentManagement/types"/>
    <ds:schemaRef ds:uri="http://purl.org/dc/dcmitype/"/>
    <ds:schemaRef ds:uri="http://schemas.microsoft.com/office/infopath/2007/PartnerControls"/>
    <ds:schemaRef ds:uri="5e01a736-1b88-436b-a44b-5245e0be4ab3"/>
    <ds:schemaRef ds:uri="http://www.w3.org/XML/1998/namespace"/>
    <ds:schemaRef ds:uri="http://schemas.microsoft.com/office/2006/metadata/properties"/>
    <ds:schemaRef ds:uri="http://purl.org/dc/elements/1.1/"/>
    <ds:schemaRef ds:uri="http://schemas.openxmlformats.org/package/2006/metadata/core-properties"/>
    <ds:schemaRef ds:uri="73aa4948-b2bb-4bb6-a4ce-3dbfd67606c8"/>
    <ds:schemaRef ds:uri="http://purl.org/dc/terms/"/>
  </ds:schemaRefs>
</ds:datastoreItem>
</file>

<file path=customXml/itemProps2.xml><?xml version="1.0" encoding="utf-8"?>
<ds:datastoreItem xmlns:ds="http://schemas.openxmlformats.org/officeDocument/2006/customXml" ds:itemID="{239D9F88-6DB1-4705-A308-9BAEBF73AEA2}"/>
</file>

<file path=customXml/itemProps3.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4.xml><?xml version="1.0" encoding="utf-8"?>
<ds:datastoreItem xmlns:ds="http://schemas.openxmlformats.org/officeDocument/2006/customXml" ds:itemID="{8A7068F4-A7E3-4B29-8BB1-5313F6F16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3880</Words>
  <Characters>22118</Characters>
  <Application>Microsoft Office Word</Application>
  <DocSecurity>0</DocSecurity>
  <Lines>184</Lines>
  <Paragraphs>51</Paragraphs>
  <ScaleCrop>false</ScaleCrop>
  <Company/>
  <LinksUpToDate>false</LinksUpToDate>
  <CharactersWithSpaces>25947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2023-04-13T12:56:00Z</dcterms:created>
  <dcterms:modified xsi:type="dcterms:W3CDTF">2023-04-13T12:56:00Z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